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DA442" w14:textId="77777777" w:rsidR="00975B74" w:rsidRDefault="00975B74" w:rsidP="00975B74">
      <w:pPr>
        <w:pStyle w:val="Title"/>
        <w:jc w:val="center"/>
      </w:pPr>
      <w:bookmarkStart w:id="0" w:name="_lmpgwqeneln5" w:colFirst="0" w:colLast="0"/>
      <w:bookmarkStart w:id="1" w:name="_GoBack"/>
      <w:bookmarkEnd w:id="0"/>
      <w:bookmarkEnd w:id="1"/>
      <w:r>
        <w:rPr>
          <w:sz w:val="36"/>
          <w:szCs w:val="36"/>
        </w:rPr>
        <w:t>Бланка за кандидатстване на проект по Инструмента за възстановяване и устойчивост</w:t>
      </w:r>
    </w:p>
    <w:p w14:paraId="077757DC" w14:textId="77777777" w:rsidR="00FE7C56" w:rsidRPr="00223742" w:rsidRDefault="00FE7C56" w:rsidP="00C471BB">
      <w:pPr>
        <w:jc w:val="both"/>
        <w:rPr>
          <w:lang w:val="en-US"/>
        </w:rPr>
      </w:pPr>
    </w:p>
    <w:tbl>
      <w:tblPr>
        <w:tblStyle w:val="a"/>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FE7C56" w:rsidRPr="00223742" w14:paraId="24FA9219" w14:textId="77777777" w:rsidTr="00AF42A3">
        <w:tc>
          <w:tcPr>
            <w:tcW w:w="9314" w:type="dxa"/>
            <w:shd w:val="clear" w:color="auto" w:fill="auto"/>
            <w:tcMar>
              <w:top w:w="100" w:type="dxa"/>
              <w:left w:w="100" w:type="dxa"/>
              <w:bottom w:w="100" w:type="dxa"/>
              <w:right w:w="100" w:type="dxa"/>
            </w:tcMar>
          </w:tcPr>
          <w:p w14:paraId="08725384" w14:textId="77777777" w:rsidR="00FE7C56" w:rsidRPr="007A356A" w:rsidRDefault="000233E8" w:rsidP="004F3A87">
            <w:pPr>
              <w:pStyle w:val="ListParagraph"/>
              <w:widowControl w:val="0"/>
              <w:numPr>
                <w:ilvl w:val="0"/>
                <w:numId w:val="1"/>
              </w:numPr>
              <w:pBdr>
                <w:top w:val="nil"/>
                <w:left w:val="nil"/>
                <w:bottom w:val="nil"/>
                <w:right w:val="nil"/>
                <w:between w:val="nil"/>
              </w:pBdr>
              <w:jc w:val="both"/>
              <w:rPr>
                <w:b/>
              </w:rPr>
            </w:pPr>
            <w:r w:rsidRPr="007A356A">
              <w:rPr>
                <w:b/>
              </w:rPr>
              <w:t>Наименование на проект.</w:t>
            </w:r>
          </w:p>
        </w:tc>
      </w:tr>
      <w:tr w:rsidR="00FE7C56" w:rsidRPr="00223742" w14:paraId="56A51F13" w14:textId="77777777" w:rsidTr="00AF42A3">
        <w:tc>
          <w:tcPr>
            <w:tcW w:w="9314" w:type="dxa"/>
            <w:shd w:val="clear" w:color="auto" w:fill="auto"/>
            <w:tcMar>
              <w:top w:w="100" w:type="dxa"/>
              <w:left w:w="100" w:type="dxa"/>
              <w:bottom w:w="100" w:type="dxa"/>
              <w:right w:w="100" w:type="dxa"/>
            </w:tcMar>
          </w:tcPr>
          <w:p w14:paraId="07BFE881" w14:textId="77777777" w:rsidR="000D3DCE" w:rsidRDefault="000D3DCE" w:rsidP="009315EF">
            <w:pPr>
              <w:rPr>
                <w:b/>
                <w:bCs/>
                <w:color w:val="1D2228"/>
                <w:shd w:val="clear" w:color="auto" w:fill="FFFFFF"/>
              </w:rPr>
            </w:pPr>
          </w:p>
          <w:p w14:paraId="3BC383D4" w14:textId="6AAE2A9E" w:rsidR="000D3DCE" w:rsidRPr="007A356A" w:rsidRDefault="00726628" w:rsidP="00561A00">
            <w:pPr>
              <w:rPr>
                <w:b/>
                <w:bCs/>
              </w:rPr>
            </w:pPr>
            <w:r>
              <w:rPr>
                <w:b/>
                <w:bCs/>
                <w:color w:val="1D2228"/>
                <w:shd w:val="clear" w:color="auto" w:fill="FFFFFF"/>
              </w:rPr>
              <w:t>Развитие на к</w:t>
            </w:r>
            <w:r w:rsidRPr="007A356A">
              <w:rPr>
                <w:b/>
                <w:bCs/>
                <w:color w:val="1D2228"/>
                <w:shd w:val="clear" w:color="auto" w:fill="FFFFFF"/>
              </w:rPr>
              <w:t>ултур</w:t>
            </w:r>
            <w:r>
              <w:rPr>
                <w:b/>
                <w:bCs/>
                <w:color w:val="1D2228"/>
                <w:shd w:val="clear" w:color="auto" w:fill="FFFFFF"/>
              </w:rPr>
              <w:t>ни</w:t>
            </w:r>
            <w:r w:rsidR="00561A00">
              <w:rPr>
                <w:b/>
                <w:bCs/>
                <w:color w:val="1D2228"/>
                <w:shd w:val="clear" w:color="auto" w:fill="FFFFFF"/>
              </w:rPr>
              <w:t>те</w:t>
            </w:r>
            <w:r w:rsidRPr="007A356A">
              <w:rPr>
                <w:b/>
                <w:bCs/>
                <w:color w:val="1D2228"/>
                <w:shd w:val="clear" w:color="auto" w:fill="FFFFFF"/>
              </w:rPr>
              <w:t xml:space="preserve"> и творчески </w:t>
            </w:r>
            <w:r>
              <w:rPr>
                <w:b/>
                <w:bCs/>
                <w:color w:val="1D2228"/>
                <w:shd w:val="clear" w:color="auto" w:fill="FFFFFF"/>
              </w:rPr>
              <w:t>сектори</w:t>
            </w:r>
            <w:r w:rsidRPr="007A356A">
              <w:rPr>
                <w:b/>
                <w:bCs/>
                <w:color w:val="1D2228"/>
                <w:shd w:val="clear" w:color="auto" w:fill="FFFFFF"/>
              </w:rPr>
              <w:t xml:space="preserve"> </w:t>
            </w:r>
          </w:p>
        </w:tc>
      </w:tr>
      <w:tr w:rsidR="000F4B69" w:rsidRPr="00223742" w14:paraId="5815C60F" w14:textId="77777777" w:rsidTr="00AF42A3">
        <w:tc>
          <w:tcPr>
            <w:tcW w:w="9314" w:type="dxa"/>
            <w:shd w:val="clear" w:color="auto" w:fill="auto"/>
            <w:tcMar>
              <w:top w:w="100" w:type="dxa"/>
              <w:left w:w="100" w:type="dxa"/>
              <w:bottom w:w="100" w:type="dxa"/>
              <w:right w:w="100" w:type="dxa"/>
            </w:tcMar>
          </w:tcPr>
          <w:p w14:paraId="17A60B8C" w14:textId="77777777" w:rsidR="000F4B69" w:rsidRPr="007A356A" w:rsidRDefault="000F4B69" w:rsidP="004F3A87">
            <w:pPr>
              <w:pStyle w:val="ListParagraph"/>
              <w:widowControl w:val="0"/>
              <w:numPr>
                <w:ilvl w:val="0"/>
                <w:numId w:val="1"/>
              </w:numPr>
              <w:pBdr>
                <w:top w:val="nil"/>
                <w:left w:val="nil"/>
                <w:bottom w:val="nil"/>
                <w:right w:val="nil"/>
                <w:between w:val="nil"/>
              </w:pBdr>
              <w:jc w:val="both"/>
              <w:rPr>
                <w:b/>
              </w:rPr>
            </w:pPr>
            <w:r w:rsidRPr="007A356A">
              <w:rPr>
                <w:b/>
              </w:rPr>
              <w:t>Описание на проекта (цели, основни дейности).</w:t>
            </w:r>
          </w:p>
        </w:tc>
      </w:tr>
      <w:tr w:rsidR="001A7D80" w:rsidRPr="00223742" w14:paraId="50816647" w14:textId="77777777" w:rsidTr="00AF42A3">
        <w:tc>
          <w:tcPr>
            <w:tcW w:w="9314" w:type="dxa"/>
            <w:shd w:val="clear" w:color="auto" w:fill="auto"/>
            <w:tcMar>
              <w:top w:w="100" w:type="dxa"/>
              <w:left w:w="100" w:type="dxa"/>
              <w:bottom w:w="100" w:type="dxa"/>
              <w:right w:w="100" w:type="dxa"/>
            </w:tcMar>
          </w:tcPr>
          <w:p w14:paraId="2BD65236" w14:textId="77777777" w:rsidR="002E5BE4" w:rsidRDefault="002E5BE4" w:rsidP="002E5BE4">
            <w:pPr>
              <w:pStyle w:val="Default"/>
              <w:spacing w:line="276" w:lineRule="auto"/>
              <w:jc w:val="both"/>
              <w:rPr>
                <w:rFonts w:ascii="Arial" w:hAnsi="Arial" w:cs="Arial"/>
                <w:sz w:val="22"/>
                <w:szCs w:val="22"/>
              </w:rPr>
            </w:pPr>
            <w:r w:rsidRPr="00607B69">
              <w:rPr>
                <w:rFonts w:ascii="Arial" w:hAnsi="Arial" w:cs="Arial"/>
                <w:sz w:val="22"/>
                <w:szCs w:val="22"/>
              </w:rPr>
              <w:t>Общата цел на проекта предвижда</w:t>
            </w:r>
            <w:r>
              <w:rPr>
                <w:rFonts w:ascii="Arial" w:hAnsi="Arial" w:cs="Arial"/>
                <w:sz w:val="22"/>
                <w:szCs w:val="22"/>
              </w:rPr>
              <w:t>,</w:t>
            </w:r>
            <w:r w:rsidRPr="00607B69">
              <w:rPr>
                <w:rFonts w:ascii="Arial" w:hAnsi="Arial" w:cs="Arial"/>
                <w:sz w:val="22"/>
                <w:szCs w:val="22"/>
              </w:rPr>
              <w:t xml:space="preserve"> чрез законодателна реформа, децентрализация и изпълнение на програми да се увеличат ефективността, ефикасността и целесъобразността на действията на Министерство на културата, вземащи предвид настоящите предизвикателства, потребности и очаквания в сектора на културните и творческите индустрии (КТИ). Мисията на проекта е да изгради не само мерки за възстановяване на сектора, но има амбицията да съдейства за стратегическо бъдещо развитие на КТИ.</w:t>
            </w:r>
          </w:p>
          <w:p w14:paraId="581CB191" w14:textId="77777777" w:rsidR="002E5BE4" w:rsidRPr="00607B69" w:rsidRDefault="002E5BE4" w:rsidP="002E5BE4">
            <w:pPr>
              <w:pStyle w:val="Default"/>
              <w:spacing w:line="276" w:lineRule="auto"/>
              <w:jc w:val="both"/>
              <w:rPr>
                <w:rFonts w:ascii="Arial" w:hAnsi="Arial" w:cs="Arial"/>
                <w:sz w:val="22"/>
                <w:szCs w:val="22"/>
              </w:rPr>
            </w:pPr>
          </w:p>
          <w:p w14:paraId="5FD4DA3F" w14:textId="77777777" w:rsidR="002E5BE4" w:rsidRDefault="002E5BE4" w:rsidP="002E5BE4">
            <w:pPr>
              <w:pStyle w:val="Default"/>
              <w:spacing w:line="276" w:lineRule="auto"/>
              <w:jc w:val="both"/>
              <w:rPr>
                <w:rFonts w:ascii="Arial" w:hAnsi="Arial" w:cs="Arial"/>
                <w:sz w:val="22"/>
                <w:szCs w:val="22"/>
              </w:rPr>
            </w:pPr>
            <w:r w:rsidRPr="00607B69">
              <w:rPr>
                <w:rFonts w:ascii="Arial" w:hAnsi="Arial" w:cs="Arial"/>
                <w:sz w:val="22"/>
                <w:szCs w:val="22"/>
              </w:rPr>
              <w:t>Настоящият проект е резултат от диалога на работна група, съставена от представители от независими КТИ, общини и Министерство на културата.</w:t>
            </w:r>
          </w:p>
          <w:p w14:paraId="03C5832C" w14:textId="77777777" w:rsidR="002E5BE4" w:rsidRPr="00607B69" w:rsidRDefault="002E5BE4" w:rsidP="002E5BE4">
            <w:pPr>
              <w:pStyle w:val="Default"/>
              <w:spacing w:line="276" w:lineRule="auto"/>
              <w:jc w:val="both"/>
              <w:rPr>
                <w:rFonts w:ascii="Arial" w:hAnsi="Arial" w:cs="Arial"/>
                <w:sz w:val="22"/>
                <w:szCs w:val="22"/>
              </w:rPr>
            </w:pPr>
          </w:p>
          <w:p w14:paraId="4B45F21F" w14:textId="77777777" w:rsidR="002E5BE4" w:rsidRDefault="002E5BE4" w:rsidP="002E5BE4">
            <w:pPr>
              <w:jc w:val="both"/>
            </w:pPr>
            <w:r w:rsidRPr="00607B69">
              <w:t xml:space="preserve">Кризата с COVID-19 засегна непропорционално обществото като цяло и изостря съществуващите социални и икономически предизвикателства. </w:t>
            </w:r>
            <w:r>
              <w:t xml:space="preserve">Секторът на </w:t>
            </w:r>
            <w:r w:rsidRPr="00607B69">
              <w:t xml:space="preserve">КТИ </w:t>
            </w:r>
            <w:r>
              <w:t>е сред</w:t>
            </w:r>
            <w:r w:rsidRPr="00607B69">
              <w:t xml:space="preserve"> най-засегнати от продължаващата пандемия. Въпреки че</w:t>
            </w:r>
            <w:r w:rsidRPr="00706DC3">
              <w:t>,</w:t>
            </w:r>
            <w:r w:rsidRPr="00607B69">
              <w:t xml:space="preserve"> творчески инициативи носят утеха в тези предизвикателни времена, голяма част от КТИ са сериозно засегнати. В България, в областта на КТИ кризата изисква </w:t>
            </w:r>
            <w:r>
              <w:t>и предприемане на действия</w:t>
            </w:r>
            <w:r w:rsidRPr="00607B69">
              <w:t xml:space="preserve"> за отстраняване на вече установените през предходните години пропуски, главно в липсата на ефикасни културни и социални политики, и целесъобразното използване на публичните разходи. Въведените мерки доведоха до рязък спад в приходите, което от своя страна води до намаляване на печалбите и увеличаване на риска от загуба на работни места в сектора. КТИ са поставени и пред предизвикателства от цифровизацията и глобализацията и тяхното въздействие върху начина, по който творците произвеждат и разпространяват своите произведения и се свързват със своята публика. </w:t>
            </w:r>
          </w:p>
          <w:p w14:paraId="55665F82" w14:textId="77777777" w:rsidR="002E5BE4" w:rsidRPr="00607B69" w:rsidRDefault="002E5BE4" w:rsidP="002E5BE4">
            <w:pPr>
              <w:jc w:val="both"/>
            </w:pPr>
          </w:p>
          <w:p w14:paraId="536AECAC" w14:textId="77777777" w:rsidR="002E5BE4" w:rsidRPr="00607B69" w:rsidRDefault="002E5BE4" w:rsidP="002E5BE4">
            <w:pPr>
              <w:jc w:val="both"/>
            </w:pPr>
            <w:r w:rsidRPr="00607B69">
              <w:t>Според Евростат, сектора на КТИ е наел 8,7 милиона души през 2018 г., което се равнява на 3,8% от общия брой на заетите лица в рамките на ЕС-28. Евростат оценява общата добавена стойност на КТИ на 290 милиарда евро през еквивалента за 2016 г. (4% от БВП на ЕС). По данни на Евростат за 2019 г. заетите в сектора на културните и творческите индустрии в България са 2,7% от общия брой на заетите лица в държавата. Приносът на КТИ в България към националния БВП (4%) и към заетостта (</w:t>
            </w:r>
            <w:r w:rsidRPr="00B64650">
              <w:t>2</w:t>
            </w:r>
            <w:r w:rsidRPr="00607B69">
              <w:t>,7%) е сравним със средните за ЕС. Въпреки това, развитието на българските КТИ е ограничено от тесните възможности за навлизане в нови пазари и достигане до нова публика както в държавата, така и в международен план, както и от консервативната и все още нереформирана национална културна политика. В културният сектор в България все още доминираща роля имат публично</w:t>
            </w:r>
            <w:r w:rsidRPr="004E48B4">
              <w:t xml:space="preserve"> </w:t>
            </w:r>
            <w:r w:rsidRPr="00607B69">
              <w:t xml:space="preserve">правни и публично финансирани </w:t>
            </w:r>
            <w:r w:rsidRPr="00607B69">
              <w:lastRenderedPageBreak/>
              <w:t xml:space="preserve">структури. Частните КТИ се формират най-вече от малки предприятия, организации с нестопанска цел и отделни самостоятелно заети творци. Около 85% от разходите за култура от централния бюджет отиват за капиталови разходи, подкрепа на публичните културни организации и възнаграждения на персонала. Тази структура на публичните разходи работи по-скоро за запазване на съществуващото положение, отколкото за насърчаване на културните дейности, новите продукции и развитието на публиката, а още по-малко за иновации и предприемачество. Според Евростат (2015 г.) потреблението в </w:t>
            </w:r>
            <w:r>
              <w:t>България</w:t>
            </w:r>
            <w:r w:rsidRPr="00607B69">
              <w:t xml:space="preserve"> на стоки и услуги с културна стойност е под средното за ЕС, като „липсата на достъп“ е посочена сред основните причини за това. Приносът на България към разнообразния, но обединен европейски културен пазар е силно ограничен дори в сравнение с държави членки като Румъния или Словения. Българските културни продукти остават ограничени до вътрешния (езиков) пазар и техният „износ“ е най-вече, чрез спорадични кампании, организирани от държавата. Присъствието на български организации във финансираните проекти на Програма „Творческа Европа“ (2014 – 2020)</w:t>
            </w:r>
            <w:r>
              <w:t>, която подкрепя международното културно сътрудничество,</w:t>
            </w:r>
            <w:r w:rsidRPr="00607B69">
              <w:t xml:space="preserve"> е твърде плахо, едва три организации </w:t>
            </w:r>
            <w:r>
              <w:t>са</w:t>
            </w:r>
            <w:r w:rsidRPr="004E48B4">
              <w:t xml:space="preserve"> </w:t>
            </w:r>
            <w:r>
              <w:t xml:space="preserve">с </w:t>
            </w:r>
            <w:r w:rsidRPr="00607B69">
              <w:t xml:space="preserve">водещи проекти и 24 организации със статут на партньори. </w:t>
            </w:r>
            <w:r>
              <w:t xml:space="preserve">По-адекватно е присъствието на 35 български организации в под-програмата „Литературни преводи“ (2014-2018) на </w:t>
            </w:r>
            <w:r w:rsidRPr="00607B69">
              <w:t>Програма „Творческа Европа“</w:t>
            </w:r>
            <w:r>
              <w:t>.</w:t>
            </w:r>
          </w:p>
          <w:p w14:paraId="48065248" w14:textId="77777777" w:rsidR="002E5BE4" w:rsidRDefault="002E5BE4" w:rsidP="002E5BE4">
            <w:pPr>
              <w:pStyle w:val="Default"/>
              <w:spacing w:line="276" w:lineRule="auto"/>
              <w:jc w:val="both"/>
              <w:rPr>
                <w:rFonts w:ascii="Arial" w:hAnsi="Arial" w:cs="Arial"/>
                <w:sz w:val="22"/>
                <w:szCs w:val="22"/>
              </w:rPr>
            </w:pPr>
          </w:p>
          <w:p w14:paraId="358F7F28" w14:textId="77777777" w:rsidR="002E5BE4" w:rsidRDefault="002E5BE4" w:rsidP="002E5BE4">
            <w:pPr>
              <w:pStyle w:val="Default"/>
              <w:spacing w:line="276" w:lineRule="auto"/>
              <w:jc w:val="both"/>
              <w:rPr>
                <w:rFonts w:ascii="Arial" w:hAnsi="Arial" w:cs="Arial"/>
                <w:sz w:val="22"/>
                <w:szCs w:val="22"/>
              </w:rPr>
            </w:pPr>
            <w:r w:rsidRPr="00607B69">
              <w:rPr>
                <w:rFonts w:ascii="Arial" w:hAnsi="Arial" w:cs="Arial"/>
                <w:sz w:val="22"/>
                <w:szCs w:val="22"/>
              </w:rPr>
              <w:t>Проектът предвижда осъществяване на реформа в публичните разходи и децентрализация на културните политики, с цел осигуряване на по-голяма прозрачност, доверие и почтеност в публичния сектор. Освен това той има за цел да подобри законодателните процедури и подходите към регулирането, по-доброто планиране, основаните на доказателства практики и приобщаването на заинтересованите страни, също чрез създаването на благоприятна за потребителите цифрова среда и по-широкото използване на отворени данни и нови инструменти при изготвянето на културни политики. Компетенциите на ръководителите на държавни администрации се нуждаят от допълнително укрепване, както се припомня в специфичните за България препоръки: справянето с променящия се свят и посрещането на нови предизвикателства</w:t>
            </w:r>
            <w:r>
              <w:rPr>
                <w:rFonts w:ascii="Arial" w:hAnsi="Arial" w:cs="Arial"/>
                <w:sz w:val="22"/>
                <w:szCs w:val="22"/>
              </w:rPr>
              <w:t>,</w:t>
            </w:r>
            <w:r w:rsidRPr="00607B69">
              <w:rPr>
                <w:rFonts w:ascii="Arial" w:hAnsi="Arial" w:cs="Arial"/>
                <w:sz w:val="22"/>
                <w:szCs w:val="22"/>
              </w:rPr>
              <w:t xml:space="preserve"> като прехода към екологични и цифрови технологии изискват ефективно и ефикасно управление на държавната администрация, което следва да разполага с аналитичен, регулаторен, изпълнителен, координационен и управленски капацитет. Това включва капацитет за разработване и прилагане на стратегии, включително подбор и правене на инвестиции за постигане на конкретни културни политики; осигуряване на ангажираност на заинтересованите страни</w:t>
            </w:r>
            <w:r>
              <w:rPr>
                <w:rFonts w:ascii="Arial" w:hAnsi="Arial" w:cs="Arial"/>
                <w:sz w:val="22"/>
                <w:szCs w:val="22"/>
              </w:rPr>
              <w:t>, като се</w:t>
            </w:r>
            <w:r w:rsidRPr="00607B69">
              <w:rPr>
                <w:rFonts w:ascii="Arial" w:hAnsi="Arial" w:cs="Arial"/>
                <w:sz w:val="22"/>
                <w:szCs w:val="22"/>
              </w:rPr>
              <w:t xml:space="preserve"> измерва въздействието въз основа на надеждни данни и постигане на устойчиви резултати. Тези компетенции трябва да бъдат доразвити за постигането на максимално икономическо развитие и резултати в сектора </w:t>
            </w:r>
            <w:r>
              <w:rPr>
                <w:rFonts w:ascii="Arial" w:hAnsi="Arial" w:cs="Arial"/>
                <w:sz w:val="22"/>
                <w:szCs w:val="22"/>
              </w:rPr>
              <w:t xml:space="preserve">на </w:t>
            </w:r>
            <w:r w:rsidRPr="00607B69">
              <w:rPr>
                <w:rFonts w:ascii="Arial" w:hAnsi="Arial" w:cs="Arial"/>
                <w:sz w:val="22"/>
                <w:szCs w:val="22"/>
              </w:rPr>
              <w:t xml:space="preserve">КТИ. Пандемията представлява възможност за преосмисляне на бъдещето на културата и създаването на по-устойчива </w:t>
            </w:r>
            <w:r>
              <w:rPr>
                <w:rFonts w:ascii="Arial" w:hAnsi="Arial" w:cs="Arial"/>
                <w:sz w:val="22"/>
                <w:szCs w:val="22"/>
              </w:rPr>
              <w:t xml:space="preserve">и конкурентноспособна </w:t>
            </w:r>
            <w:r w:rsidRPr="00607B69">
              <w:rPr>
                <w:rFonts w:ascii="Arial" w:hAnsi="Arial" w:cs="Arial"/>
                <w:sz w:val="22"/>
                <w:szCs w:val="22"/>
              </w:rPr>
              <w:t>културна екосистема.</w:t>
            </w:r>
          </w:p>
          <w:p w14:paraId="5D0DE3B1" w14:textId="77777777" w:rsidR="002E5BE4" w:rsidRPr="00607B69" w:rsidRDefault="002E5BE4" w:rsidP="002E5BE4">
            <w:pPr>
              <w:pStyle w:val="Default"/>
              <w:spacing w:line="276" w:lineRule="auto"/>
              <w:jc w:val="both"/>
              <w:rPr>
                <w:rFonts w:ascii="Arial" w:hAnsi="Arial" w:cs="Arial"/>
                <w:sz w:val="22"/>
                <w:szCs w:val="22"/>
              </w:rPr>
            </w:pPr>
          </w:p>
          <w:p w14:paraId="78E4E60C" w14:textId="77777777" w:rsidR="002E5BE4" w:rsidRPr="00995130" w:rsidRDefault="002E5BE4" w:rsidP="002E5BE4">
            <w:pPr>
              <w:pStyle w:val="yiv1531560104ydp693bf732msolistparagraph"/>
              <w:shd w:val="clear" w:color="auto" w:fill="FFFFFF"/>
              <w:spacing w:before="0" w:beforeAutospacing="0" w:after="0" w:afterAutospacing="0"/>
              <w:rPr>
                <w:rFonts w:ascii="Arial" w:hAnsi="Arial" w:cs="Arial"/>
                <w:color w:val="000000"/>
                <w:sz w:val="22"/>
                <w:szCs w:val="22"/>
              </w:rPr>
            </w:pPr>
            <w:r w:rsidRPr="00607B69">
              <w:rPr>
                <w:rFonts w:ascii="Arial" w:hAnsi="Arial" w:cs="Arial"/>
                <w:sz w:val="22"/>
                <w:szCs w:val="22"/>
              </w:rPr>
              <w:t>Чрез стартирането и изпълнението на програми в рамката на проекта ще</w:t>
            </w:r>
            <w:r>
              <w:rPr>
                <w:rFonts w:ascii="Arial" w:hAnsi="Arial" w:cs="Arial"/>
                <w:sz w:val="22"/>
                <w:szCs w:val="22"/>
              </w:rPr>
              <w:t xml:space="preserve"> се</w:t>
            </w:r>
            <w:r w:rsidRPr="00607B69">
              <w:rPr>
                <w:rFonts w:ascii="Arial" w:hAnsi="Arial" w:cs="Arial"/>
                <w:sz w:val="22"/>
                <w:szCs w:val="22"/>
              </w:rPr>
              <w:t xml:space="preserve"> стимулира растежа </w:t>
            </w:r>
            <w:r>
              <w:rPr>
                <w:rFonts w:ascii="Arial" w:hAnsi="Arial" w:cs="Arial"/>
                <w:sz w:val="22"/>
                <w:szCs w:val="22"/>
              </w:rPr>
              <w:t xml:space="preserve">и конкурентостта </w:t>
            </w:r>
            <w:r w:rsidRPr="00607B69">
              <w:rPr>
                <w:rFonts w:ascii="Arial" w:hAnsi="Arial" w:cs="Arial"/>
                <w:sz w:val="22"/>
                <w:szCs w:val="22"/>
              </w:rPr>
              <w:t xml:space="preserve">на </w:t>
            </w:r>
            <w:r>
              <w:rPr>
                <w:rFonts w:ascii="Arial" w:hAnsi="Arial" w:cs="Arial"/>
                <w:sz w:val="22"/>
                <w:szCs w:val="22"/>
              </w:rPr>
              <w:t xml:space="preserve">български </w:t>
            </w:r>
            <w:r w:rsidRPr="00607B69">
              <w:rPr>
                <w:rFonts w:ascii="Arial" w:hAnsi="Arial" w:cs="Arial"/>
                <w:sz w:val="22"/>
                <w:szCs w:val="22"/>
              </w:rPr>
              <w:t xml:space="preserve">КТИ </w:t>
            </w:r>
            <w:r>
              <w:rPr>
                <w:rFonts w:ascii="Arial" w:hAnsi="Arial" w:cs="Arial"/>
                <w:sz w:val="22"/>
                <w:szCs w:val="22"/>
              </w:rPr>
              <w:t>да работят за европейско</w:t>
            </w:r>
            <w:r w:rsidRPr="00607B69">
              <w:rPr>
                <w:rFonts w:ascii="Arial" w:hAnsi="Arial" w:cs="Arial"/>
                <w:sz w:val="22"/>
                <w:szCs w:val="22"/>
              </w:rPr>
              <w:t xml:space="preserve"> сътрудничество</w:t>
            </w:r>
            <w:r>
              <w:rPr>
                <w:rFonts w:ascii="Arial" w:hAnsi="Arial" w:cs="Arial"/>
                <w:sz w:val="22"/>
                <w:szCs w:val="22"/>
              </w:rPr>
              <w:t>,</w:t>
            </w:r>
            <w:r w:rsidRPr="00607B69">
              <w:rPr>
                <w:rFonts w:ascii="Arial" w:hAnsi="Arial" w:cs="Arial"/>
                <w:sz w:val="22"/>
                <w:szCs w:val="22"/>
              </w:rPr>
              <w:t xml:space="preserve"> </w:t>
            </w:r>
            <w:r w:rsidRPr="00607B69">
              <w:rPr>
                <w:rFonts w:ascii="Arial" w:hAnsi="Arial" w:cs="Arial"/>
                <w:color w:val="1D2228"/>
                <w:sz w:val="22"/>
                <w:szCs w:val="22"/>
              </w:rPr>
              <w:t>трансгранични и мултинационални културни проекти</w:t>
            </w:r>
            <w:r w:rsidRPr="00607B69">
              <w:rPr>
                <w:rFonts w:ascii="Arial" w:hAnsi="Arial" w:cs="Arial"/>
                <w:sz w:val="22"/>
                <w:szCs w:val="22"/>
              </w:rPr>
              <w:t xml:space="preserve">. Тази промяна в политиката ще постави по-силен от всякога акцент върху основания на проектен подход, който стимулира конкуренцията, иновациите и алтернативните инструменти за финансиране, </w:t>
            </w:r>
            <w:r w:rsidRPr="00607B69">
              <w:rPr>
                <w:rFonts w:ascii="Arial" w:hAnsi="Arial" w:cs="Arial"/>
                <w:sz w:val="22"/>
                <w:szCs w:val="22"/>
              </w:rPr>
              <w:lastRenderedPageBreak/>
              <w:t xml:space="preserve">върху разширяването на пазара на КТИ както в национален, така и в европейски мащаб, и върху децентрализацията на културните дейности. </w:t>
            </w:r>
            <w:r w:rsidRPr="00995130">
              <w:rPr>
                <w:rFonts w:ascii="Arial" w:hAnsi="Arial" w:cs="Arial"/>
                <w:color w:val="000000"/>
                <w:sz w:val="22"/>
                <w:szCs w:val="22"/>
              </w:rPr>
              <w:t>С оглед осигуряване на устойчивост на резултатите на проекта след неговото приключван</w:t>
            </w:r>
            <w:r>
              <w:rPr>
                <w:rFonts w:ascii="Arial" w:hAnsi="Arial" w:cs="Arial"/>
                <w:color w:val="000000"/>
                <w:sz w:val="22"/>
                <w:szCs w:val="22"/>
              </w:rPr>
              <w:t>е</w:t>
            </w:r>
            <w:r w:rsidRPr="00995130">
              <w:rPr>
                <w:rFonts w:ascii="Arial" w:hAnsi="Arial" w:cs="Arial"/>
                <w:color w:val="000000"/>
                <w:sz w:val="22"/>
                <w:szCs w:val="22"/>
              </w:rPr>
              <w:t xml:space="preserve">, </w:t>
            </w:r>
            <w:r>
              <w:rPr>
                <w:rFonts w:ascii="Arial" w:hAnsi="Arial" w:cs="Arial"/>
                <w:color w:val="000000"/>
                <w:sz w:val="22"/>
                <w:szCs w:val="22"/>
              </w:rPr>
              <w:t xml:space="preserve">се </w:t>
            </w:r>
            <w:r w:rsidRPr="00995130">
              <w:rPr>
                <w:rFonts w:ascii="Arial" w:hAnsi="Arial" w:cs="Arial"/>
                <w:color w:val="000000"/>
                <w:sz w:val="22"/>
                <w:szCs w:val="22"/>
              </w:rPr>
              <w:t xml:space="preserve">предвижда изграждането на </w:t>
            </w:r>
            <w:r w:rsidRPr="00995130">
              <w:rPr>
                <w:rFonts w:ascii="Arial" w:hAnsi="Arial" w:cs="Arial"/>
                <w:bCs/>
                <w:sz w:val="22"/>
                <w:szCs w:val="22"/>
              </w:rPr>
              <w:t>мултифункционални</w:t>
            </w:r>
            <w:r w:rsidRPr="00995130">
              <w:rPr>
                <w:rFonts w:ascii="Arial" w:hAnsi="Arial" w:cs="Arial"/>
                <w:bCs/>
                <w:color w:val="1D2228"/>
                <w:sz w:val="22"/>
                <w:szCs w:val="22"/>
              </w:rPr>
              <w:t xml:space="preserve"> </w:t>
            </w:r>
            <w:r w:rsidRPr="00995130">
              <w:rPr>
                <w:rFonts w:ascii="Arial" w:hAnsi="Arial" w:cs="Arial"/>
                <w:color w:val="1D2228"/>
                <w:sz w:val="22"/>
                <w:szCs w:val="22"/>
              </w:rPr>
              <w:t>центрове за съвременн</w:t>
            </w:r>
            <w:r>
              <w:rPr>
                <w:rFonts w:ascii="Arial" w:hAnsi="Arial" w:cs="Arial"/>
                <w:color w:val="1D2228"/>
                <w:sz w:val="22"/>
                <w:szCs w:val="22"/>
              </w:rPr>
              <w:t>и</w:t>
            </w:r>
            <w:r w:rsidRPr="00995130">
              <w:rPr>
                <w:rFonts w:ascii="Arial" w:hAnsi="Arial" w:cs="Arial"/>
                <w:color w:val="1D2228"/>
                <w:sz w:val="22"/>
                <w:szCs w:val="22"/>
              </w:rPr>
              <w:t xml:space="preserve"> изкуств</w:t>
            </w:r>
            <w:r>
              <w:rPr>
                <w:rFonts w:ascii="Arial" w:hAnsi="Arial" w:cs="Arial"/>
                <w:color w:val="1D2228"/>
                <w:sz w:val="22"/>
                <w:szCs w:val="22"/>
              </w:rPr>
              <w:t xml:space="preserve">а </w:t>
            </w:r>
            <w:r w:rsidRPr="00995130">
              <w:rPr>
                <w:rFonts w:ascii="Arial" w:hAnsi="Arial" w:cs="Arial"/>
                <w:color w:val="1D2228"/>
                <w:sz w:val="22"/>
                <w:szCs w:val="22"/>
              </w:rPr>
              <w:t>на местно ниво,</w:t>
            </w:r>
            <w:r w:rsidRPr="00995130">
              <w:rPr>
                <w:rFonts w:ascii="Arial" w:hAnsi="Arial" w:cs="Arial"/>
                <w:color w:val="000000"/>
                <w:sz w:val="22"/>
                <w:szCs w:val="22"/>
              </w:rPr>
              <w:t xml:space="preserve"> </w:t>
            </w:r>
            <w:r>
              <w:rPr>
                <w:rFonts w:ascii="Arial" w:hAnsi="Arial" w:cs="Arial"/>
                <w:color w:val="000000"/>
                <w:sz w:val="22"/>
                <w:szCs w:val="22"/>
              </w:rPr>
              <w:t xml:space="preserve">където </w:t>
            </w:r>
            <w:r w:rsidRPr="00995130">
              <w:rPr>
                <w:rFonts w:ascii="Arial" w:hAnsi="Arial" w:cs="Arial"/>
                <w:color w:val="000000"/>
                <w:sz w:val="22"/>
                <w:szCs w:val="22"/>
              </w:rPr>
              <w:t xml:space="preserve">общините и КТИ да развият жизнена, конкурентна и приобщаваща културна екосистема, която ще допринесе за създаването на нови възможности за </w:t>
            </w:r>
            <w:r>
              <w:rPr>
                <w:rFonts w:ascii="Arial" w:hAnsi="Arial" w:cs="Arial"/>
                <w:color w:val="000000"/>
                <w:sz w:val="22"/>
                <w:szCs w:val="22"/>
              </w:rPr>
              <w:t>децентрализация на КТИ, и</w:t>
            </w:r>
            <w:r w:rsidRPr="00995130">
              <w:rPr>
                <w:rFonts w:ascii="Arial" w:hAnsi="Arial" w:cs="Arial"/>
                <w:color w:val="000000"/>
                <w:sz w:val="22"/>
                <w:szCs w:val="22"/>
              </w:rPr>
              <w:t xml:space="preserve"> ще повлияе на качеството на живот и привлекателност на градовете и регионите.</w:t>
            </w:r>
            <w:r>
              <w:rPr>
                <w:rFonts w:ascii="Arial" w:hAnsi="Arial" w:cs="Arial"/>
                <w:color w:val="000000"/>
                <w:sz w:val="22"/>
                <w:szCs w:val="22"/>
              </w:rPr>
              <w:t xml:space="preserve"> За да гарантира устойчиво развитие на инвестициите, държавата в лицето на министерство на културата ще подкрепи центровете, чрез нормативна и финансова ангажираност. На конкурсен принцип, чрез методика за разпределение на финансови средства и ясни критерии за подбор ще се предостави възможност на потенциални бенефициенти да подадат своите кандидатури, които ще се разглеждат и оценяват от специално създадена за целта комисия. Избраните бенефициенти ще бъдат подкрепени като пилотни проекти, насърчавайки развитието на КТИ в страната.</w:t>
            </w:r>
          </w:p>
          <w:p w14:paraId="005A5805" w14:textId="77777777" w:rsidR="002E5BE4" w:rsidRPr="00607B69" w:rsidRDefault="002E5BE4" w:rsidP="002E5BE4">
            <w:pPr>
              <w:pStyle w:val="Default"/>
              <w:spacing w:line="276" w:lineRule="auto"/>
              <w:jc w:val="both"/>
              <w:rPr>
                <w:rFonts w:ascii="Arial" w:hAnsi="Arial" w:cs="Arial"/>
                <w:sz w:val="22"/>
                <w:szCs w:val="22"/>
              </w:rPr>
            </w:pPr>
          </w:p>
          <w:p w14:paraId="24EF5C75" w14:textId="77777777" w:rsidR="002E5BE4" w:rsidRPr="00607B69" w:rsidRDefault="002E5BE4" w:rsidP="002E5BE4">
            <w:pPr>
              <w:pStyle w:val="Default"/>
              <w:spacing w:line="276" w:lineRule="auto"/>
              <w:jc w:val="both"/>
              <w:rPr>
                <w:rFonts w:ascii="Arial" w:hAnsi="Arial" w:cs="Arial"/>
                <w:sz w:val="22"/>
                <w:szCs w:val="22"/>
              </w:rPr>
            </w:pPr>
            <w:r w:rsidRPr="00607B69">
              <w:rPr>
                <w:rFonts w:ascii="Arial" w:hAnsi="Arial" w:cs="Arial"/>
                <w:sz w:val="22"/>
                <w:szCs w:val="22"/>
              </w:rPr>
              <w:t>Проектът ще доведе до по-нататъшни реформи в съществуващите политически инструменти на национално и местно равнище, ще повиши капацитета на администрацията и културните оператори, ще създаде условия за комуникация във вътрешносекторните и междусекторните партньорства на КТИ с ИТ сектора, туризма и образованието. Проектът ще позволи пълния потенциал на културата за устойчивост на обществото да се мобилизира за възстановяване и социално, човешко и икономическо развитие след кризата. Това допълнително ще допринесе за повишаване качеството на живот на българските граждани, включително в по-слабо развитите региони на държавата, ще увеличи приноса на културата за икономическия растеж, ще разшири пазара на културни стоки и услуги, ще увеличи заетостта особено сред младото население, както и ще допринесе за борбата със социалните неравенства.</w:t>
            </w:r>
          </w:p>
          <w:p w14:paraId="0DBAC788" w14:textId="77777777" w:rsidR="002E5BE4" w:rsidRDefault="002E5BE4" w:rsidP="002E5BE4">
            <w:pPr>
              <w:pStyle w:val="Default"/>
              <w:spacing w:line="276" w:lineRule="auto"/>
              <w:jc w:val="both"/>
              <w:rPr>
                <w:rFonts w:ascii="Arial" w:hAnsi="Arial" w:cs="Arial"/>
                <w:sz w:val="22"/>
                <w:szCs w:val="22"/>
              </w:rPr>
            </w:pPr>
          </w:p>
          <w:p w14:paraId="518551CB" w14:textId="77777777" w:rsidR="002E5BE4" w:rsidRPr="00607B69" w:rsidRDefault="002E5BE4" w:rsidP="002E5BE4">
            <w:pPr>
              <w:pStyle w:val="Default"/>
              <w:spacing w:line="276" w:lineRule="auto"/>
              <w:jc w:val="both"/>
              <w:rPr>
                <w:rFonts w:ascii="Arial" w:hAnsi="Arial" w:cs="Arial"/>
                <w:sz w:val="22"/>
                <w:szCs w:val="22"/>
              </w:rPr>
            </w:pPr>
            <w:r w:rsidRPr="00607B69">
              <w:rPr>
                <w:rFonts w:ascii="Arial" w:hAnsi="Arial" w:cs="Arial"/>
                <w:sz w:val="22"/>
                <w:szCs w:val="22"/>
              </w:rPr>
              <w:t>Свързаният с това пакет от реформ</w:t>
            </w:r>
            <w:r>
              <w:rPr>
                <w:rFonts w:ascii="Arial" w:hAnsi="Arial" w:cs="Arial"/>
                <w:sz w:val="22"/>
                <w:szCs w:val="22"/>
              </w:rPr>
              <w:t>а</w:t>
            </w:r>
            <w:r w:rsidRPr="00607B69">
              <w:rPr>
                <w:rFonts w:ascii="Arial" w:hAnsi="Arial" w:cs="Arial"/>
                <w:sz w:val="22"/>
                <w:szCs w:val="22"/>
              </w:rPr>
              <w:t xml:space="preserve"> и инвестиции има следните цели: </w:t>
            </w:r>
          </w:p>
          <w:p w14:paraId="029FCB17" w14:textId="77777777" w:rsidR="002E5BE4" w:rsidRPr="00607B69" w:rsidRDefault="002E5BE4" w:rsidP="002E5BE4">
            <w:pPr>
              <w:pStyle w:val="Body"/>
              <w:widowControl w:val="0"/>
              <w:numPr>
                <w:ilvl w:val="0"/>
                <w:numId w:val="2"/>
              </w:numPr>
              <w:pBdr>
                <w:top w:val="nil"/>
                <w:left w:val="nil"/>
                <w:bottom w:val="nil"/>
                <w:right w:val="nil"/>
                <w:between w:val="nil"/>
                <w:bar w:val="nil"/>
              </w:pBdr>
              <w:tabs>
                <w:tab w:val="num" w:pos="753"/>
              </w:tabs>
              <w:jc w:val="both"/>
              <w:rPr>
                <w:rFonts w:ascii="Arial" w:eastAsia="Times New Roman" w:cs="Arial"/>
              </w:rPr>
            </w:pPr>
            <w:r>
              <w:rPr>
                <w:rFonts w:ascii="Arial" w:cs="Arial"/>
              </w:rPr>
              <w:t>М</w:t>
            </w:r>
            <w:r w:rsidRPr="00607B69">
              <w:rPr>
                <w:rFonts w:ascii="Arial" w:cs="Arial"/>
              </w:rPr>
              <w:t>обилизиране</w:t>
            </w:r>
            <w:r w:rsidRPr="00607B69">
              <w:rPr>
                <w:rFonts w:ascii="Arial" w:cs="Arial"/>
                <w:u w:color="FF0000"/>
              </w:rPr>
              <w:t xml:space="preserve"> на пълния потенциал на КТИ за преодоляване на социалните последици на </w:t>
            </w:r>
            <w:r w:rsidRPr="00607B69">
              <w:rPr>
                <w:rFonts w:ascii="Arial" w:cs="Arial"/>
              </w:rPr>
              <w:t>кризата от COVID-19</w:t>
            </w:r>
            <w:r w:rsidRPr="00607B69">
              <w:rPr>
                <w:rFonts w:ascii="Arial" w:cs="Arial"/>
                <w:u w:color="FF0000"/>
              </w:rPr>
              <w:t>, за борба с изолацията и процеса на дезинтеграция на общностите</w:t>
            </w:r>
            <w:r>
              <w:rPr>
                <w:rFonts w:ascii="Arial" w:cs="Arial"/>
                <w:u w:color="FF0000"/>
              </w:rPr>
              <w:t>.</w:t>
            </w:r>
          </w:p>
          <w:p w14:paraId="473EEBE0" w14:textId="77777777" w:rsidR="002E5BE4" w:rsidRDefault="002E5BE4" w:rsidP="002E5BE4">
            <w:pPr>
              <w:pStyle w:val="Default"/>
              <w:numPr>
                <w:ilvl w:val="0"/>
                <w:numId w:val="2"/>
              </w:numPr>
              <w:spacing w:line="276" w:lineRule="auto"/>
              <w:jc w:val="both"/>
              <w:rPr>
                <w:rFonts w:ascii="Arial" w:hAnsi="Arial" w:cs="Arial"/>
                <w:sz w:val="22"/>
                <w:szCs w:val="22"/>
              </w:rPr>
            </w:pPr>
            <w:r w:rsidRPr="00607B69">
              <w:rPr>
                <w:rFonts w:ascii="Arial" w:hAnsi="Arial" w:cs="Arial"/>
                <w:sz w:val="22"/>
                <w:szCs w:val="22"/>
              </w:rPr>
              <w:t xml:space="preserve">Повишаване на качеството, ефикасността и прозрачността на публичните разходи за култура, чрез подобряване на законодателните процедури и </w:t>
            </w:r>
            <w:r>
              <w:rPr>
                <w:rFonts w:ascii="Arial" w:hAnsi="Arial" w:cs="Arial"/>
                <w:sz w:val="22"/>
                <w:szCs w:val="22"/>
              </w:rPr>
              <w:t xml:space="preserve">повишаване на административния капацитет, чрез </w:t>
            </w:r>
            <w:r w:rsidRPr="00607B69">
              <w:rPr>
                <w:rFonts w:ascii="Arial" w:hAnsi="Arial" w:cs="Arial"/>
                <w:sz w:val="22"/>
                <w:szCs w:val="22"/>
              </w:rPr>
              <w:t>реформата, свързана със статута и функционирането на Националния фонд „Култура“ (НФК)</w:t>
            </w:r>
            <w:r>
              <w:rPr>
                <w:rFonts w:ascii="Arial" w:hAnsi="Arial" w:cs="Arial"/>
                <w:sz w:val="22"/>
                <w:szCs w:val="22"/>
              </w:rPr>
              <w:t>.</w:t>
            </w:r>
          </w:p>
          <w:p w14:paraId="53EBC4E5" w14:textId="77777777" w:rsidR="002E5BE4" w:rsidRPr="004208CC" w:rsidRDefault="002E5BE4" w:rsidP="002E5BE4">
            <w:pPr>
              <w:pStyle w:val="Default"/>
              <w:numPr>
                <w:ilvl w:val="0"/>
                <w:numId w:val="2"/>
              </w:numPr>
              <w:spacing w:line="276" w:lineRule="auto"/>
              <w:jc w:val="both"/>
              <w:rPr>
                <w:rFonts w:ascii="Arial" w:hAnsi="Arial" w:cs="Arial"/>
                <w:sz w:val="22"/>
                <w:szCs w:val="22"/>
              </w:rPr>
            </w:pPr>
            <w:r w:rsidRPr="004208CC">
              <w:rPr>
                <w:rFonts w:ascii="Arial" w:hAnsi="Arial" w:cs="Arial"/>
                <w:sz w:val="22"/>
                <w:szCs w:val="22"/>
              </w:rPr>
              <w:t xml:space="preserve">Повишаване на присъствието и конкурентоспособността на българските КТИ на европейския пазар, чрез отваряне на нови международни възможности с </w:t>
            </w:r>
            <w:r w:rsidRPr="004208CC">
              <w:rPr>
                <w:rFonts w:ascii="Arial" w:eastAsia="Times New Roman" w:hAnsi="Arial" w:cs="Arial"/>
                <w:color w:val="1D2228"/>
                <w:sz w:val="22"/>
                <w:szCs w:val="22"/>
              </w:rPr>
              <w:t>трансгранични и мултинационални проекти</w:t>
            </w:r>
            <w:r w:rsidRPr="004208CC">
              <w:rPr>
                <w:rFonts w:ascii="Arial" w:hAnsi="Arial" w:cs="Arial"/>
                <w:sz w:val="22"/>
                <w:szCs w:val="22"/>
              </w:rPr>
              <w:t>, пазари и публика</w:t>
            </w:r>
            <w:r>
              <w:rPr>
                <w:rFonts w:ascii="Arial" w:hAnsi="Arial" w:cs="Arial"/>
                <w:sz w:val="22"/>
                <w:szCs w:val="22"/>
                <w:u w:color="FF0000"/>
              </w:rPr>
              <w:t>.</w:t>
            </w:r>
          </w:p>
          <w:p w14:paraId="16ED71D7" w14:textId="77777777" w:rsidR="002E5BE4" w:rsidRPr="004208CC" w:rsidRDefault="002E5BE4" w:rsidP="002E5BE4">
            <w:pPr>
              <w:pStyle w:val="Default"/>
              <w:numPr>
                <w:ilvl w:val="0"/>
                <w:numId w:val="2"/>
              </w:numPr>
              <w:spacing w:line="276" w:lineRule="auto"/>
              <w:jc w:val="both"/>
              <w:rPr>
                <w:rFonts w:ascii="Arial" w:hAnsi="Arial" w:cs="Arial"/>
                <w:sz w:val="22"/>
                <w:szCs w:val="22"/>
              </w:rPr>
            </w:pPr>
            <w:r w:rsidRPr="004208CC">
              <w:rPr>
                <w:rFonts w:ascii="Arial" w:hAnsi="Arial" w:cs="Arial"/>
                <w:sz w:val="22"/>
                <w:szCs w:val="22"/>
              </w:rPr>
              <w:t>Подобряване на възможностите за заетост в КТИ, особено за младите хора, чрез предлагане на програми за изграждане на капацитет и чрез инвестиции в проекти на КТИ, които работят предимно с млади хора. Насърчаване на цифровия и екологичен подход в програмите на проекта, чрез откриване и насърчаване на жизнеспособните МСП в КТИ, които прилагат новите технологии и екологичните политики.</w:t>
            </w:r>
          </w:p>
          <w:p w14:paraId="2E35071E" w14:textId="77777777" w:rsidR="002E5BE4" w:rsidRPr="00103E6E" w:rsidRDefault="002E5BE4" w:rsidP="002E5BE4">
            <w:pPr>
              <w:pStyle w:val="Body"/>
              <w:widowControl w:val="0"/>
              <w:numPr>
                <w:ilvl w:val="0"/>
                <w:numId w:val="2"/>
              </w:numPr>
              <w:pBdr>
                <w:top w:val="nil"/>
                <w:left w:val="nil"/>
                <w:bottom w:val="nil"/>
                <w:right w:val="nil"/>
                <w:between w:val="nil"/>
                <w:bar w:val="nil"/>
              </w:pBdr>
              <w:tabs>
                <w:tab w:val="num" w:pos="753"/>
              </w:tabs>
              <w:jc w:val="both"/>
              <w:rPr>
                <w:rFonts w:ascii="Arial" w:eastAsia="Times New Roman" w:cs="Arial"/>
              </w:rPr>
            </w:pPr>
            <w:r w:rsidRPr="00607B69">
              <w:rPr>
                <w:rFonts w:ascii="Arial" w:cs="Arial"/>
              </w:rPr>
              <w:t xml:space="preserve">Стимулиране на търсенето, чрез развиване на публиката и осигуряване на равен достъп до качествена </w:t>
            </w:r>
            <w:r>
              <w:rPr>
                <w:rFonts w:ascii="Arial" w:cs="Arial"/>
              </w:rPr>
              <w:t xml:space="preserve">съвременна </w:t>
            </w:r>
            <w:r w:rsidRPr="00607B69">
              <w:rPr>
                <w:rFonts w:ascii="Arial" w:cs="Arial"/>
              </w:rPr>
              <w:t xml:space="preserve">културна продукция от </w:t>
            </w:r>
            <w:r>
              <w:rPr>
                <w:rFonts w:ascii="Arial" w:cs="Arial"/>
              </w:rPr>
              <w:t>България и ЕС.</w:t>
            </w:r>
            <w:r w:rsidRPr="00607B69">
              <w:rPr>
                <w:rFonts w:ascii="Arial" w:cs="Arial"/>
              </w:rPr>
              <w:t xml:space="preserve"> </w:t>
            </w:r>
            <w:r>
              <w:rPr>
                <w:rFonts w:ascii="Arial" w:cs="Arial"/>
              </w:rPr>
              <w:t>Р</w:t>
            </w:r>
            <w:r w:rsidRPr="00607B69">
              <w:rPr>
                <w:rFonts w:ascii="Arial" w:cs="Arial"/>
              </w:rPr>
              <w:t>азнообразяване на каналите за достъп</w:t>
            </w:r>
            <w:r>
              <w:rPr>
                <w:rFonts w:ascii="Arial" w:cs="Arial"/>
              </w:rPr>
              <w:t>,</w:t>
            </w:r>
            <w:r w:rsidRPr="00607B69">
              <w:rPr>
                <w:rFonts w:ascii="Arial" w:cs="Arial"/>
              </w:rPr>
              <w:t xml:space="preserve"> чрез процес на адаптиране към цифровите алтернативи за предоставяне, управление и маркетинг на </w:t>
            </w:r>
            <w:r w:rsidRPr="00607B69">
              <w:rPr>
                <w:rFonts w:ascii="Arial" w:cs="Arial"/>
              </w:rPr>
              <w:lastRenderedPageBreak/>
              <w:t>съдържание</w:t>
            </w:r>
            <w:r>
              <w:rPr>
                <w:rFonts w:ascii="Arial" w:cs="Arial"/>
              </w:rPr>
              <w:t>.</w:t>
            </w:r>
          </w:p>
          <w:p w14:paraId="435EE4B6" w14:textId="77777777" w:rsidR="002E5BE4" w:rsidRPr="00DF3987" w:rsidRDefault="002E5BE4" w:rsidP="002E5BE4">
            <w:pPr>
              <w:pStyle w:val="ListParagraph"/>
              <w:numPr>
                <w:ilvl w:val="0"/>
                <w:numId w:val="2"/>
              </w:numPr>
            </w:pPr>
            <w:r w:rsidRPr="004E49FD">
              <w:t xml:space="preserve">Създаване на условия за съществуването </w:t>
            </w:r>
            <w:r>
              <w:t xml:space="preserve">на </w:t>
            </w:r>
            <w:r w:rsidRPr="004E49FD">
              <w:t>жизнен бизнес и финансов модел за развитие на КТИ</w:t>
            </w:r>
            <w:r>
              <w:t xml:space="preserve"> в публични-частни партньорства, чрез изграждането на мултифункционалните центрове за съвременно изкуство</w:t>
            </w:r>
            <w:r w:rsidRPr="004E49FD">
              <w:t>.</w:t>
            </w:r>
          </w:p>
          <w:p w14:paraId="2A78F9A7" w14:textId="77777777" w:rsidR="002E5BE4" w:rsidRPr="00607B69" w:rsidRDefault="002E5BE4" w:rsidP="002E5BE4">
            <w:pPr>
              <w:pStyle w:val="Body"/>
              <w:widowControl w:val="0"/>
              <w:pBdr>
                <w:top w:val="nil"/>
                <w:left w:val="nil"/>
                <w:bottom w:val="nil"/>
                <w:right w:val="nil"/>
                <w:between w:val="nil"/>
                <w:bar w:val="nil"/>
              </w:pBdr>
              <w:ind w:left="720"/>
              <w:jc w:val="both"/>
              <w:rPr>
                <w:rFonts w:ascii="Arial" w:eastAsia="Times New Roman" w:cs="Arial"/>
              </w:rPr>
            </w:pPr>
          </w:p>
          <w:p w14:paraId="7E0E45D8" w14:textId="77777777" w:rsidR="002E5BE4" w:rsidRPr="00607B69" w:rsidRDefault="002E5BE4" w:rsidP="002E5BE4">
            <w:pPr>
              <w:pStyle w:val="Body"/>
              <w:widowControl w:val="0"/>
              <w:pBdr>
                <w:top w:val="nil"/>
                <w:left w:val="nil"/>
                <w:bottom w:val="nil"/>
                <w:right w:val="nil"/>
                <w:between w:val="nil"/>
                <w:bar w:val="nil"/>
              </w:pBdr>
              <w:jc w:val="both"/>
              <w:rPr>
                <w:rFonts w:ascii="Arial" w:cs="Arial"/>
                <w:b/>
                <w:bCs/>
              </w:rPr>
            </w:pPr>
          </w:p>
          <w:p w14:paraId="049A68EE" w14:textId="77777777" w:rsidR="002E5BE4" w:rsidRPr="00607B69" w:rsidRDefault="002E5BE4" w:rsidP="002E5BE4">
            <w:pPr>
              <w:pStyle w:val="Body"/>
              <w:widowControl w:val="0"/>
              <w:jc w:val="both"/>
              <w:rPr>
                <w:rFonts w:ascii="Arial" w:eastAsia="Times New Roman" w:cs="Arial"/>
                <w:b/>
                <w:bCs/>
              </w:rPr>
            </w:pPr>
            <w:r w:rsidRPr="00607B69">
              <w:rPr>
                <w:rFonts w:ascii="Arial" w:cs="Arial"/>
                <w:b/>
              </w:rPr>
              <w:t>Дейност 1. Реформиране на публичните разходи за КТИ в НФК</w:t>
            </w:r>
          </w:p>
          <w:p w14:paraId="32B836DF" w14:textId="77777777" w:rsidR="002E5BE4" w:rsidRPr="00607B69" w:rsidRDefault="002E5BE4" w:rsidP="002E5BE4">
            <w:pPr>
              <w:jc w:val="both"/>
            </w:pPr>
            <w:r w:rsidRPr="00607B69">
              <w:t>Чрез възложените му със Закона за закрила и развитие на културата (ЗЗРК) функции, НФК управлява проекти и програми с международн</w:t>
            </w:r>
            <w:r>
              <w:t xml:space="preserve">о, </w:t>
            </w:r>
            <w:r w:rsidRPr="00607B69">
              <w:t>национално</w:t>
            </w:r>
            <w:r>
              <w:t xml:space="preserve"> </w:t>
            </w:r>
            <w:r w:rsidRPr="00607B69">
              <w:t>и общинско значение. Фонда съдейства за провеждане на националната политика в областта на културата, за създаване, съхраняване и разпространение на произведения на изкуството и културата, както и за опазване и популяризиране на културно-историческото наследство, научноизследователска дейност в областта на културата</w:t>
            </w:r>
            <w:r>
              <w:t>,</w:t>
            </w:r>
            <w:r w:rsidRPr="00607B69">
              <w:t xml:space="preserve"> подпомага международната културна дейност; </w:t>
            </w:r>
            <w:r>
              <w:t xml:space="preserve">съдейства за </w:t>
            </w:r>
            <w:r w:rsidRPr="00607B69">
              <w:t>усъвършенстване и развитие на структурата и качеството на образованието в областта на изкуството и културата.</w:t>
            </w:r>
          </w:p>
          <w:p w14:paraId="601DDCA1" w14:textId="77777777" w:rsidR="002E5BE4" w:rsidRPr="00607B69" w:rsidRDefault="002E5BE4" w:rsidP="002E5BE4">
            <w:pPr>
              <w:pStyle w:val="Default"/>
              <w:spacing w:line="276" w:lineRule="auto"/>
              <w:jc w:val="both"/>
              <w:rPr>
                <w:rFonts w:ascii="Arial" w:hAnsi="Arial" w:cs="Arial"/>
                <w:sz w:val="22"/>
                <w:szCs w:val="22"/>
              </w:rPr>
            </w:pPr>
            <w:r w:rsidRPr="00607B69">
              <w:rPr>
                <w:rFonts w:ascii="Arial" w:hAnsi="Arial" w:cs="Arial"/>
                <w:sz w:val="22"/>
                <w:szCs w:val="22"/>
              </w:rPr>
              <w:t>Дейността е насочена към превръщане на създадения през 2000 г. НКФ в структура, която подкрепя иновациите, растежа и международното сътрудничество на българските КТИ по прозрачен и финансово устойчив начин. Повишаване на предвидимостта и ефективността, съгласуваността и приобщаването при разработването на политики, чрез прозрачно планиране, консултации със заинтересованите страни, оценка, координация и мониторинг. Създаване на условия за атрактивно и динамично предоставяне на услуги от държавните служби за утрешния ден.</w:t>
            </w:r>
          </w:p>
          <w:p w14:paraId="74A60199" w14:textId="77777777" w:rsidR="002E5BE4" w:rsidRPr="00607B69" w:rsidRDefault="002E5BE4" w:rsidP="002E5BE4">
            <w:pPr>
              <w:pStyle w:val="Body"/>
              <w:widowControl w:val="0"/>
              <w:jc w:val="both"/>
              <w:rPr>
                <w:rFonts w:ascii="Arial" w:cs="Arial"/>
              </w:rPr>
            </w:pPr>
            <w:r w:rsidRPr="00607B69">
              <w:rPr>
                <w:rFonts w:ascii="Arial" w:cs="Arial"/>
              </w:rPr>
              <w:t xml:space="preserve">Понастоящем Фондът се финансира основно с публични средства от бюджета на Министерство на културата, стартиралата през май 2020 г. процедура за промяна на ЗЗРК не е достатъчно задълбочена и ефективна, с оглед стратегически резултати, Фонда не разполага с достатъчно персонал, съществува затруднен анализ и пропуски в проследяване на резултатите от програмите за финансово подпомагане, няма обществено признание и доверие. През март 2021 г. е стартирана процедура </w:t>
            </w:r>
            <w:r>
              <w:rPr>
                <w:rFonts w:ascii="Arial" w:cs="Arial"/>
              </w:rPr>
              <w:t>за</w:t>
            </w:r>
            <w:r w:rsidRPr="00607B69">
              <w:rPr>
                <w:rFonts w:ascii="Arial" w:cs="Arial"/>
              </w:rPr>
              <w:t xml:space="preserve"> увеличаване на броя на служителите във Фонда, както и НФК да има собствена сграда. Реформата в НФК е неизбежна и това предопределя последващите етапи на дейността.</w:t>
            </w:r>
          </w:p>
          <w:p w14:paraId="1F98471D" w14:textId="77777777" w:rsidR="002E5BE4" w:rsidRDefault="002E5BE4" w:rsidP="002E5BE4">
            <w:pPr>
              <w:pStyle w:val="Body"/>
              <w:widowControl w:val="0"/>
              <w:jc w:val="both"/>
              <w:rPr>
                <w:rFonts w:ascii="Arial" w:cs="Arial"/>
                <w:b/>
                <w:bCs/>
              </w:rPr>
            </w:pPr>
          </w:p>
          <w:p w14:paraId="2FECF92E" w14:textId="77777777" w:rsidR="002E5BE4" w:rsidRPr="00607B69" w:rsidRDefault="002E5BE4" w:rsidP="002E5BE4">
            <w:pPr>
              <w:pStyle w:val="Body"/>
              <w:widowControl w:val="0"/>
              <w:jc w:val="both"/>
              <w:rPr>
                <w:rFonts w:ascii="Arial" w:eastAsia="Times New Roman" w:cs="Arial"/>
                <w:b/>
                <w:bCs/>
              </w:rPr>
            </w:pPr>
            <w:r w:rsidRPr="00607B69">
              <w:rPr>
                <w:rFonts w:ascii="Arial" w:cs="Arial"/>
                <w:b/>
                <w:bCs/>
              </w:rPr>
              <w:t>1.1. Законодателна промяна в правната рамка на НФК</w:t>
            </w:r>
          </w:p>
          <w:p w14:paraId="312024CA" w14:textId="77777777" w:rsidR="002E5BE4" w:rsidRPr="00607B69" w:rsidRDefault="002E5BE4" w:rsidP="002E5BE4">
            <w:pPr>
              <w:pStyle w:val="Body"/>
              <w:widowControl w:val="0"/>
              <w:jc w:val="both"/>
              <w:rPr>
                <w:rFonts w:ascii="Arial" w:cs="Arial"/>
              </w:rPr>
            </w:pPr>
            <w:r w:rsidRPr="00607B69">
              <w:rPr>
                <w:rFonts w:ascii="Arial" w:cs="Arial"/>
              </w:rPr>
              <w:t xml:space="preserve">С оглед реформиране на публичните инвестиции за държавните политики за КТИ е необходимо да се извърши законодателна промяна в правната рамка, уреждаща дейността на НФК. След направени консултации, съгласно действащото законодателство, дейността визира </w:t>
            </w:r>
            <w:r w:rsidRPr="00607B69">
              <w:rPr>
                <w:rFonts w:ascii="Arial" w:cs="Arial"/>
                <w:color w:val="1D2228"/>
              </w:rPr>
              <w:t>промяна в ЗЗРК, с цел НФК да придобие статут на делегиран бюджет. Подобен бюджет прилагат голяма част от второстепенните разпоредители с бюджет към М</w:t>
            </w:r>
            <w:r>
              <w:rPr>
                <w:rFonts w:ascii="Arial" w:cs="Arial"/>
                <w:color w:val="1D2228"/>
              </w:rPr>
              <w:t>инистерство на културата</w:t>
            </w:r>
            <w:r w:rsidRPr="00607B69">
              <w:rPr>
                <w:rFonts w:ascii="Arial" w:cs="Arial"/>
                <w:color w:val="1D2228"/>
              </w:rPr>
              <w:t>. Този механизъм доказа на практика своята ефективност при всички културни институти в системата на Министерство</w:t>
            </w:r>
            <w:r>
              <w:rPr>
                <w:rFonts w:ascii="Arial" w:cs="Arial"/>
                <w:color w:val="1D2228"/>
              </w:rPr>
              <w:t>то</w:t>
            </w:r>
            <w:r w:rsidRPr="00607B69">
              <w:rPr>
                <w:rFonts w:ascii="Arial" w:cs="Arial"/>
                <w:color w:val="1D2228"/>
              </w:rPr>
              <w:t xml:space="preserve">. Те стабилизираха своята дейност, получиха мотивация и финансови възможности да развиват капацитета на своите служители, разшириха дейността си, за която държавата им е вменила отговорност. </w:t>
            </w:r>
          </w:p>
          <w:p w14:paraId="3930335F" w14:textId="77777777" w:rsidR="002E5BE4" w:rsidRPr="00607B69" w:rsidRDefault="002E5BE4" w:rsidP="002E5BE4">
            <w:pPr>
              <w:pStyle w:val="Body"/>
              <w:widowControl w:val="0"/>
              <w:jc w:val="both"/>
              <w:rPr>
                <w:rFonts w:ascii="Arial" w:cs="Arial"/>
                <w:color w:val="1D2228"/>
              </w:rPr>
            </w:pPr>
            <w:r>
              <w:rPr>
                <w:rFonts w:ascii="Arial" w:cs="Arial"/>
                <w:color w:val="1D2228"/>
              </w:rPr>
              <w:t>Реформата стартира с и</w:t>
            </w:r>
            <w:r w:rsidRPr="00607B69">
              <w:rPr>
                <w:rFonts w:ascii="Arial" w:cs="Arial"/>
                <w:color w:val="1D2228"/>
              </w:rPr>
              <w:t>зработване</w:t>
            </w:r>
            <w:r>
              <w:rPr>
                <w:rFonts w:ascii="Arial" w:cs="Arial"/>
                <w:color w:val="1D2228"/>
              </w:rPr>
              <w:t>то</w:t>
            </w:r>
            <w:r w:rsidRPr="00607B69">
              <w:rPr>
                <w:rFonts w:ascii="Arial" w:cs="Arial"/>
                <w:color w:val="1D2228"/>
              </w:rPr>
              <w:t xml:space="preserve"> от екип юристи и финансисти на </w:t>
            </w:r>
            <w:r>
              <w:rPr>
                <w:rFonts w:ascii="Arial" w:cs="Arial"/>
                <w:color w:val="1D2228"/>
              </w:rPr>
              <w:t>А</w:t>
            </w:r>
            <w:r w:rsidRPr="00607B69">
              <w:rPr>
                <w:rFonts w:ascii="Arial" w:cs="Arial"/>
                <w:color w:val="1D2228"/>
              </w:rPr>
              <w:t xml:space="preserve">нализ и оценка на въздействието на действащото законодателство за НФК и сродното европейско законодателство. Освен ЗЗРК, с който е създаден НФК, ще бъдат разгледани относими </w:t>
            </w:r>
            <w:r w:rsidRPr="00607B69">
              <w:rPr>
                <w:rFonts w:ascii="Arial" w:cs="Arial"/>
                <w:color w:val="1D2228"/>
              </w:rPr>
              <w:lastRenderedPageBreak/>
              <w:t xml:space="preserve">за Фонда текстове в Закона за авторското право и сродните му права, Закона за данъците върху доходите на физическите лица, Закона за културното наследство, Закона за народните читалища, Закона за творческите фондове, Закона за хазарта, Закона за администрацията и др., както и в различни подзаконови актове. </w:t>
            </w:r>
            <w:r>
              <w:rPr>
                <w:rFonts w:ascii="Arial" w:cs="Arial"/>
                <w:color w:val="1D2228"/>
              </w:rPr>
              <w:t xml:space="preserve">Екипът от юристи и финансисти ще работи по законодателните промени съвместно с работна група, съгласно чл. 45 (4) от Закона за администрацията. </w:t>
            </w:r>
            <w:r w:rsidRPr="00607B69">
              <w:rPr>
                <w:rFonts w:ascii="Arial" w:cs="Arial"/>
                <w:color w:val="1D2228"/>
              </w:rPr>
              <w:t xml:space="preserve">Последващите етапи от процедурата за промяна на ЗЗРК в частта за НФК са след разглеждане и получаване на одобрение от Министерски съвет на Анализа и </w:t>
            </w:r>
            <w:r>
              <w:rPr>
                <w:rFonts w:ascii="Arial" w:cs="Arial"/>
                <w:color w:val="1D2228"/>
              </w:rPr>
              <w:t>О</w:t>
            </w:r>
            <w:r w:rsidRPr="00607B69">
              <w:rPr>
                <w:rFonts w:ascii="Arial" w:cs="Arial"/>
                <w:color w:val="1D2228"/>
              </w:rPr>
              <w:t xml:space="preserve">ценката, се изработва законопроект, който се внася за одобрение от Министерски съвет. Финалният етап е внасяне на законопроекта </w:t>
            </w:r>
            <w:r>
              <w:rPr>
                <w:rFonts w:ascii="Arial" w:cs="Arial"/>
                <w:color w:val="1D2228"/>
              </w:rPr>
              <w:t xml:space="preserve">за промяна на ЗЗРК от Министерски съвет </w:t>
            </w:r>
            <w:r w:rsidRPr="00607B69">
              <w:rPr>
                <w:rFonts w:ascii="Arial" w:cs="Arial"/>
                <w:color w:val="1D2228"/>
              </w:rPr>
              <w:t>в Народното събрание и след неговото одобрение</w:t>
            </w:r>
            <w:r>
              <w:rPr>
                <w:rFonts w:ascii="Arial" w:cs="Arial"/>
                <w:color w:val="1D2228"/>
              </w:rPr>
              <w:t xml:space="preserve"> да бъде</w:t>
            </w:r>
            <w:r w:rsidRPr="00607B69">
              <w:rPr>
                <w:rFonts w:ascii="Arial" w:cs="Arial"/>
                <w:color w:val="1D2228"/>
              </w:rPr>
              <w:t xml:space="preserve"> публикуван в Държавен вестник.</w:t>
            </w:r>
          </w:p>
          <w:p w14:paraId="092FA320" w14:textId="77777777" w:rsidR="002E5BE4" w:rsidRDefault="002E5BE4" w:rsidP="002E5BE4">
            <w:pPr>
              <w:pStyle w:val="Body"/>
              <w:widowControl w:val="0"/>
              <w:jc w:val="both"/>
              <w:rPr>
                <w:rFonts w:ascii="Arial" w:cs="Arial"/>
                <w:b/>
                <w:bCs/>
                <w:color w:val="1D2228"/>
              </w:rPr>
            </w:pPr>
          </w:p>
          <w:p w14:paraId="0391AD6A" w14:textId="77777777" w:rsidR="002E5BE4" w:rsidRPr="00607B69" w:rsidRDefault="002E5BE4" w:rsidP="002E5BE4">
            <w:pPr>
              <w:pStyle w:val="Body"/>
              <w:widowControl w:val="0"/>
              <w:jc w:val="both"/>
              <w:rPr>
                <w:rFonts w:ascii="Arial" w:cs="Arial"/>
                <w:b/>
                <w:bCs/>
                <w:color w:val="1D2228"/>
              </w:rPr>
            </w:pPr>
            <w:r w:rsidRPr="00607B69">
              <w:rPr>
                <w:rFonts w:ascii="Arial" w:cs="Arial"/>
                <w:b/>
                <w:bCs/>
                <w:color w:val="1D2228"/>
              </w:rPr>
              <w:t>1.2. Изготвяне на институционалните актове на НФК</w:t>
            </w:r>
          </w:p>
          <w:p w14:paraId="06B6641F" w14:textId="77777777" w:rsidR="002E5BE4" w:rsidRPr="00607B69" w:rsidRDefault="002E5BE4" w:rsidP="002E5BE4">
            <w:pPr>
              <w:pStyle w:val="Body"/>
              <w:widowControl w:val="0"/>
              <w:jc w:val="both"/>
              <w:rPr>
                <w:rFonts w:ascii="Arial" w:cs="Arial"/>
              </w:rPr>
            </w:pPr>
            <w:r w:rsidRPr="00607B69">
              <w:rPr>
                <w:rFonts w:ascii="Arial" w:cs="Arial"/>
              </w:rPr>
              <w:t xml:space="preserve">Съгласно промяната в ЗЗРК ще бъдат изработени актуален и ефикасен Устройствен правилник на НФК </w:t>
            </w:r>
            <w:r w:rsidRPr="00607B69">
              <w:rPr>
                <w:rFonts w:ascii="Arial" w:eastAsia="Times New Roman" w:cs="Arial"/>
              </w:rPr>
              <w:t>за административното управление, Правила за наблюдението и оценката на дейността на Фонда и други поднормативни правилници</w:t>
            </w:r>
            <w:r>
              <w:rPr>
                <w:rFonts w:ascii="Arial" w:eastAsia="Times New Roman" w:cs="Arial"/>
              </w:rPr>
              <w:t xml:space="preserve"> (Наредба №5 /27.06.2007г. и други,</w:t>
            </w:r>
            <w:r w:rsidRPr="00607B69">
              <w:rPr>
                <w:rFonts w:ascii="Arial" w:eastAsia="Times New Roman" w:cs="Arial"/>
              </w:rPr>
              <w:t xml:space="preserve"> при необходимост.</w:t>
            </w:r>
          </w:p>
          <w:p w14:paraId="1E2BBDF9" w14:textId="77777777" w:rsidR="002E5BE4" w:rsidRDefault="002E5BE4" w:rsidP="002E5BE4">
            <w:pPr>
              <w:pStyle w:val="Body"/>
              <w:widowControl w:val="0"/>
              <w:jc w:val="both"/>
              <w:rPr>
                <w:rFonts w:ascii="Arial" w:cs="Arial"/>
                <w:b/>
                <w:bCs/>
              </w:rPr>
            </w:pPr>
          </w:p>
          <w:p w14:paraId="0F23C297" w14:textId="77777777" w:rsidR="002E5BE4" w:rsidRPr="00607B69" w:rsidRDefault="002E5BE4" w:rsidP="002E5BE4">
            <w:pPr>
              <w:pStyle w:val="Body"/>
              <w:widowControl w:val="0"/>
              <w:jc w:val="both"/>
              <w:rPr>
                <w:rFonts w:ascii="Arial" w:eastAsia="Times New Roman" w:cs="Arial"/>
                <w:b/>
                <w:bCs/>
              </w:rPr>
            </w:pPr>
            <w:r w:rsidRPr="00607B69">
              <w:rPr>
                <w:rFonts w:ascii="Arial" w:cs="Arial"/>
                <w:b/>
                <w:bCs/>
              </w:rPr>
              <w:t xml:space="preserve">1.3. Структура на управление и вземане на решения </w:t>
            </w:r>
          </w:p>
          <w:p w14:paraId="69ECD91E" w14:textId="77777777" w:rsidR="002E5BE4" w:rsidRPr="00607B69" w:rsidRDefault="002E5BE4" w:rsidP="002E5BE4">
            <w:pPr>
              <w:pStyle w:val="Body"/>
              <w:widowControl w:val="0"/>
              <w:jc w:val="both"/>
              <w:rPr>
                <w:rFonts w:ascii="Arial" w:cs="Arial"/>
              </w:rPr>
            </w:pPr>
            <w:r w:rsidRPr="00607B69">
              <w:rPr>
                <w:rFonts w:ascii="Arial" w:cs="Arial"/>
              </w:rPr>
              <w:t xml:space="preserve">Освен това планираната реформа ще въведе нови критерии и процедури за назначаване на </w:t>
            </w:r>
            <w:r>
              <w:rPr>
                <w:rFonts w:ascii="Arial" w:cs="Arial"/>
              </w:rPr>
              <w:t>У</w:t>
            </w:r>
            <w:r w:rsidRPr="00607B69">
              <w:rPr>
                <w:rFonts w:ascii="Arial" w:cs="Arial"/>
              </w:rPr>
              <w:t xml:space="preserve">правителен съвет, изпълнително ръководство, програмни (консултативни) съвети, както и механизъм за обществени консултации, като по този начин ще се гарантира по-добро стратегическо планиране, прозрачност на управлението и избягване на конфликти на интереси. </w:t>
            </w:r>
          </w:p>
          <w:p w14:paraId="3E5251EE" w14:textId="77777777" w:rsidR="002E5BE4" w:rsidRDefault="002E5BE4" w:rsidP="002E5BE4">
            <w:pPr>
              <w:pStyle w:val="Body"/>
              <w:widowControl w:val="0"/>
              <w:jc w:val="both"/>
              <w:rPr>
                <w:rFonts w:ascii="Arial" w:cs="Arial"/>
                <w:b/>
                <w:bCs/>
              </w:rPr>
            </w:pPr>
          </w:p>
          <w:p w14:paraId="771DDEDD" w14:textId="77777777" w:rsidR="002E5BE4" w:rsidRPr="00607B69" w:rsidRDefault="002E5BE4" w:rsidP="002E5BE4">
            <w:pPr>
              <w:pStyle w:val="Body"/>
              <w:widowControl w:val="0"/>
              <w:jc w:val="both"/>
              <w:rPr>
                <w:rFonts w:ascii="Arial" w:eastAsia="Times New Roman" w:cs="Arial"/>
                <w:b/>
                <w:bCs/>
              </w:rPr>
            </w:pPr>
            <w:r w:rsidRPr="00607B69">
              <w:rPr>
                <w:rFonts w:ascii="Arial" w:cs="Arial"/>
                <w:b/>
                <w:bCs/>
              </w:rPr>
              <w:t>1.4. Администрация и цифровизация на процесите в НФК</w:t>
            </w:r>
          </w:p>
          <w:p w14:paraId="4FFBC875" w14:textId="77777777" w:rsidR="002E5BE4" w:rsidRPr="00607B69" w:rsidRDefault="002E5BE4" w:rsidP="002E5BE4">
            <w:pPr>
              <w:jc w:val="both"/>
            </w:pPr>
            <w:r w:rsidRPr="00607B69">
              <w:t xml:space="preserve">Дейността предвижда увеличаване на персонала, което вече е стартирало от март 2021 г., с оглед увеличените функции и отговорности на Фонда. Осъществяването на обучения за персонала, с оглед повишаване на квалификация и капацитета. Както и обособяването на </w:t>
            </w:r>
            <w:r w:rsidRPr="00607B69">
              <w:rPr>
                <w:u w:color="FF0000"/>
              </w:rPr>
              <w:t xml:space="preserve">изследователски отдел за културни анализи, който ще подпомага стратегическото развитие на Фонда, ще си сътрудничи тясно с академичната и научната общност, с оглед </w:t>
            </w:r>
            <w:r w:rsidRPr="00607B69">
              <w:t>свързване на научните изследвания, културната индустрия, обществените политики със съответния бизнес сектор за взаимодействие.</w:t>
            </w:r>
          </w:p>
          <w:p w14:paraId="09461A3B" w14:textId="5E921980" w:rsidR="002E5BE4" w:rsidRPr="00607B69" w:rsidRDefault="002E5BE4" w:rsidP="002E5BE4">
            <w:pPr>
              <w:jc w:val="both"/>
            </w:pPr>
            <w:r w:rsidRPr="00607B69">
              <w:t xml:space="preserve">Ще бъде разработена и внедрена електронна система със софтуерно решение за НФК за улесняване на всички операции във вътрешните и външните административни процеси на Фонда. Първият компонент на системата ще </w:t>
            </w:r>
            <w:r w:rsidRPr="00607B69">
              <w:rPr>
                <w:rFonts w:eastAsia="Calibri"/>
              </w:rPr>
              <w:t xml:space="preserve">съдейства на обявяването, кандидатстването и отчитането по програмите на НФК. </w:t>
            </w:r>
            <w:r w:rsidRPr="00607B69">
              <w:t xml:space="preserve">Втори компонент от електронната система е разработването и функционирането на цифрова платформа за продуктите на сектора КТИ, финансирани по програмите на НФК. Платформата ще бъде достъпна на национално ниво, както ще е свързана с европейски платформи за КТИ. Третият компонент на електронната система включва </w:t>
            </w:r>
            <w:r>
              <w:t>свързването с</w:t>
            </w:r>
            <w:r w:rsidRPr="00607B69">
              <w:t xml:space="preserve"> електронна база данни (регистър)</w:t>
            </w:r>
            <w:r>
              <w:t>, поддържана от Министерство на културата</w:t>
            </w:r>
            <w:r w:rsidRPr="00607B69">
              <w:t xml:space="preserve"> за идентифициране на сектора на самостоятелната заетост в културата като инструмент за статут на независими артисти. </w:t>
            </w:r>
          </w:p>
          <w:p w14:paraId="61690839" w14:textId="77777777" w:rsidR="002E5BE4" w:rsidRDefault="002E5BE4" w:rsidP="002E5BE4">
            <w:pPr>
              <w:pStyle w:val="Body"/>
              <w:widowControl w:val="0"/>
              <w:jc w:val="both"/>
              <w:rPr>
                <w:rFonts w:ascii="Arial" w:cs="Arial"/>
                <w:b/>
                <w:bCs/>
              </w:rPr>
            </w:pPr>
          </w:p>
          <w:p w14:paraId="156D54CB" w14:textId="77777777" w:rsidR="002E5BE4" w:rsidRPr="00607B69" w:rsidRDefault="002E5BE4" w:rsidP="002E5BE4">
            <w:pPr>
              <w:pStyle w:val="Body"/>
              <w:widowControl w:val="0"/>
              <w:jc w:val="both"/>
              <w:rPr>
                <w:rFonts w:ascii="Arial" w:cs="Arial"/>
                <w:b/>
                <w:bCs/>
              </w:rPr>
            </w:pPr>
            <w:r w:rsidRPr="00607B69">
              <w:rPr>
                <w:rFonts w:ascii="Arial" w:cs="Arial"/>
                <w:b/>
                <w:bCs/>
              </w:rPr>
              <w:t>1.5. Оценка и анализ на изпълнението на проекта</w:t>
            </w:r>
          </w:p>
          <w:p w14:paraId="1E5A9A4F" w14:textId="77777777" w:rsidR="002E5BE4" w:rsidRPr="00607B69" w:rsidRDefault="002E5BE4" w:rsidP="002E5BE4">
            <w:pPr>
              <w:pStyle w:val="Body"/>
              <w:widowControl w:val="0"/>
              <w:jc w:val="both"/>
              <w:rPr>
                <w:rFonts w:ascii="Arial" w:cs="Arial"/>
                <w:u w:color="FF0000"/>
              </w:rPr>
            </w:pPr>
            <w:r w:rsidRPr="00607B69">
              <w:rPr>
                <w:rFonts w:ascii="Arial" w:cs="Arial"/>
              </w:rPr>
              <w:t>Осъществяване на оценка и анализ на цялостната дейност на НФК в периода 2021-</w:t>
            </w:r>
            <w:r w:rsidRPr="00607B69">
              <w:rPr>
                <w:rFonts w:ascii="Arial" w:cs="Arial"/>
              </w:rPr>
              <w:lastRenderedPageBreak/>
              <w:t>202</w:t>
            </w:r>
            <w:r>
              <w:rPr>
                <w:rFonts w:ascii="Arial" w:cs="Arial"/>
              </w:rPr>
              <w:t>5</w:t>
            </w:r>
            <w:r w:rsidRPr="00607B69">
              <w:rPr>
                <w:rFonts w:ascii="Arial" w:cs="Arial"/>
              </w:rPr>
              <w:t xml:space="preserve"> г. </w:t>
            </w:r>
            <w:r>
              <w:rPr>
                <w:rFonts w:ascii="Arial" w:cs="Arial"/>
              </w:rPr>
              <w:t>Резултатите от д</w:t>
            </w:r>
            <w:r w:rsidRPr="00607B69">
              <w:rPr>
                <w:rFonts w:ascii="Arial" w:cs="Arial"/>
                <w:u w:color="FF0000"/>
              </w:rPr>
              <w:t>ейността ще предостави на НФК възможности за планиране и изпълнение на нови програми, ще се създадат условия за разработване на нови стратегии за културно развитие на международно, национално и местно равнище. От съществено значение е да се оцени функцията на НФК със</w:t>
            </w:r>
            <w:r w:rsidRPr="00607B69">
              <w:rPr>
                <w:rFonts w:ascii="Arial" w:cs="Arial"/>
              </w:rPr>
              <w:t xml:space="preserve"> своя нов тип програми и методи на работа, как насърчава взаимодействието между операторите от КТИ с ИТ сектора, туризма и образованието, МСП, бизнес организации и публични, които ще бъдат поставени в позицията на стимулатор на нов вид финансова стабилност в рамките на LEVERAGE сектора. </w:t>
            </w:r>
          </w:p>
          <w:p w14:paraId="14DE82C6" w14:textId="77777777" w:rsidR="002E5BE4" w:rsidRDefault="002E5BE4" w:rsidP="002E5BE4">
            <w:pPr>
              <w:pStyle w:val="Body"/>
              <w:widowControl w:val="0"/>
              <w:jc w:val="both"/>
              <w:rPr>
                <w:rFonts w:ascii="Arial" w:eastAsia="Times New Roman" w:cs="Arial"/>
              </w:rPr>
            </w:pPr>
          </w:p>
          <w:p w14:paraId="374B90A4" w14:textId="77777777" w:rsidR="002E5BE4" w:rsidRPr="00607B69" w:rsidRDefault="002E5BE4" w:rsidP="002E5BE4">
            <w:pPr>
              <w:pStyle w:val="Body"/>
              <w:widowControl w:val="0"/>
              <w:jc w:val="both"/>
              <w:rPr>
                <w:rFonts w:ascii="Arial" w:eastAsia="Times New Roman" w:cs="Arial"/>
              </w:rPr>
            </w:pPr>
          </w:p>
          <w:p w14:paraId="68F8AB95" w14:textId="77777777" w:rsidR="002E5BE4" w:rsidRPr="00607B69" w:rsidRDefault="002E5BE4" w:rsidP="002E5BE4">
            <w:pPr>
              <w:pStyle w:val="Body"/>
              <w:widowControl w:val="0"/>
              <w:jc w:val="both"/>
              <w:rPr>
                <w:rFonts w:ascii="Arial" w:eastAsia="Times New Roman" w:cs="Arial"/>
                <w:b/>
                <w:bCs/>
              </w:rPr>
            </w:pPr>
            <w:r w:rsidRPr="00607B69">
              <w:rPr>
                <w:rFonts w:ascii="Arial" w:cs="Arial"/>
                <w:b/>
              </w:rPr>
              <w:t xml:space="preserve">Дейност 2. Програма „Подкрепа за </w:t>
            </w:r>
            <w:r w:rsidRPr="00607B69">
              <w:rPr>
                <w:rFonts w:ascii="Arial" w:cs="Arial"/>
                <w:b/>
                <w:u w:color="FF0000"/>
              </w:rPr>
              <w:t>европейско</w:t>
            </w:r>
            <w:r w:rsidRPr="00607B69">
              <w:rPr>
                <w:rFonts w:ascii="Arial" w:cs="Arial"/>
                <w:b/>
              </w:rPr>
              <w:t xml:space="preserve"> културно сътрудничество“</w:t>
            </w:r>
          </w:p>
          <w:p w14:paraId="26DB6253" w14:textId="77777777" w:rsidR="002E5BE4" w:rsidRPr="00607B69" w:rsidRDefault="002E5BE4" w:rsidP="002E5BE4">
            <w:pPr>
              <w:pStyle w:val="Body"/>
              <w:widowControl w:val="0"/>
              <w:jc w:val="both"/>
              <w:rPr>
                <w:rFonts w:ascii="Arial" w:eastAsia="Times New Roman" w:cs="Arial"/>
                <w:b/>
                <w:bCs/>
              </w:rPr>
            </w:pPr>
            <w:r w:rsidRPr="00607B69">
              <w:rPr>
                <w:rFonts w:ascii="Arial" w:cs="Arial"/>
                <w:b/>
              </w:rPr>
              <w:t>Схеми за безвъзмездна помощ на НФК</w:t>
            </w:r>
          </w:p>
          <w:p w14:paraId="4957D2E8" w14:textId="77777777" w:rsidR="002E5BE4" w:rsidRPr="00607B69" w:rsidRDefault="002E5BE4" w:rsidP="002E5BE4">
            <w:pPr>
              <w:pStyle w:val="Default"/>
              <w:spacing w:line="276" w:lineRule="auto"/>
              <w:jc w:val="both"/>
              <w:rPr>
                <w:rFonts w:ascii="Arial" w:hAnsi="Arial" w:cs="Arial"/>
                <w:sz w:val="22"/>
                <w:szCs w:val="22"/>
              </w:rPr>
            </w:pPr>
            <w:r w:rsidRPr="00607B69">
              <w:rPr>
                <w:rFonts w:ascii="Arial" w:hAnsi="Arial" w:cs="Arial"/>
                <w:sz w:val="22"/>
                <w:szCs w:val="22"/>
              </w:rPr>
              <w:t xml:space="preserve">Програмата има за цел да подпомогне капацитета на българските КТИ за работа в европейски мащаб и да насърчи международното разпространение на български художествени произведения и културни продукти. Програмата ще сътрудничи, координира и разширява политиките за международно сътрудничество на Министерство на културата и българските културни институти в чужбина. </w:t>
            </w:r>
          </w:p>
          <w:p w14:paraId="4942F66E" w14:textId="77777777" w:rsidR="002E5BE4" w:rsidRPr="00607B69" w:rsidRDefault="002E5BE4" w:rsidP="002E5BE4">
            <w:pPr>
              <w:pStyle w:val="Default"/>
              <w:spacing w:line="276" w:lineRule="auto"/>
              <w:jc w:val="both"/>
              <w:rPr>
                <w:rFonts w:ascii="Arial" w:hAnsi="Arial" w:cs="Arial"/>
                <w:sz w:val="22"/>
                <w:szCs w:val="22"/>
              </w:rPr>
            </w:pPr>
            <w:r w:rsidRPr="00607B69">
              <w:rPr>
                <w:rFonts w:ascii="Arial" w:hAnsi="Arial" w:cs="Arial"/>
                <w:sz w:val="22"/>
                <w:szCs w:val="22"/>
              </w:rPr>
              <w:t xml:space="preserve">Дейността ще осигури </w:t>
            </w:r>
            <w:r>
              <w:rPr>
                <w:rFonts w:ascii="Arial" w:hAnsi="Arial" w:cs="Arial"/>
                <w:sz w:val="22"/>
                <w:szCs w:val="22"/>
              </w:rPr>
              <w:t xml:space="preserve">и </w:t>
            </w:r>
            <w:r w:rsidRPr="00607B69">
              <w:rPr>
                <w:rFonts w:ascii="Arial" w:hAnsi="Arial" w:cs="Arial"/>
                <w:sz w:val="22"/>
                <w:szCs w:val="22"/>
              </w:rPr>
              <w:t xml:space="preserve">финансиране на проекти за </w:t>
            </w:r>
            <w:r>
              <w:rPr>
                <w:rFonts w:ascii="Arial" w:hAnsi="Arial" w:cs="Arial"/>
                <w:sz w:val="22"/>
                <w:szCs w:val="22"/>
              </w:rPr>
              <w:t xml:space="preserve">създаване на български </w:t>
            </w:r>
            <w:r w:rsidRPr="00607B69">
              <w:rPr>
                <w:rFonts w:ascii="Arial" w:hAnsi="Arial" w:cs="Arial"/>
                <w:sz w:val="22"/>
                <w:szCs w:val="22"/>
              </w:rPr>
              <w:t>оригинални продукции и европейски копродукции</w:t>
            </w:r>
            <w:r>
              <w:rPr>
                <w:rFonts w:ascii="Arial" w:hAnsi="Arial" w:cs="Arial"/>
                <w:sz w:val="22"/>
                <w:szCs w:val="22"/>
              </w:rPr>
              <w:t xml:space="preserve"> с</w:t>
            </w:r>
            <w:r w:rsidRPr="00607B69">
              <w:rPr>
                <w:rFonts w:ascii="Arial" w:hAnsi="Arial" w:cs="Arial"/>
                <w:sz w:val="22"/>
                <w:szCs w:val="22"/>
              </w:rPr>
              <w:t xml:space="preserve"> трансгранично и мултикултурно </w:t>
            </w:r>
            <w:r>
              <w:rPr>
                <w:rFonts w:ascii="Arial" w:hAnsi="Arial" w:cs="Arial"/>
                <w:sz w:val="22"/>
                <w:szCs w:val="22"/>
              </w:rPr>
              <w:t>участие</w:t>
            </w:r>
            <w:r w:rsidRPr="00607B69">
              <w:rPr>
                <w:rFonts w:ascii="Arial" w:hAnsi="Arial" w:cs="Arial"/>
                <w:sz w:val="22"/>
                <w:szCs w:val="22"/>
              </w:rPr>
              <w:t>.</w:t>
            </w:r>
          </w:p>
          <w:p w14:paraId="28F4C63C" w14:textId="77777777" w:rsidR="002E5BE4" w:rsidRDefault="002E5BE4" w:rsidP="002E5BE4">
            <w:pPr>
              <w:pStyle w:val="Default"/>
              <w:spacing w:line="276" w:lineRule="auto"/>
              <w:jc w:val="both"/>
              <w:rPr>
                <w:rFonts w:ascii="Arial" w:hAnsi="Arial" w:cs="Arial"/>
                <w:sz w:val="22"/>
                <w:szCs w:val="22"/>
              </w:rPr>
            </w:pPr>
            <w:r w:rsidRPr="00607B69">
              <w:rPr>
                <w:rFonts w:ascii="Arial" w:hAnsi="Arial" w:cs="Arial"/>
                <w:sz w:val="22"/>
                <w:szCs w:val="22"/>
              </w:rPr>
              <w:t>Програмата включва две открити покани за представяне на проектни предложения, както следва:</w:t>
            </w:r>
          </w:p>
          <w:p w14:paraId="5165B154" w14:textId="77777777" w:rsidR="002E5BE4" w:rsidRPr="00607B69" w:rsidRDefault="002E5BE4" w:rsidP="002E5BE4">
            <w:pPr>
              <w:pStyle w:val="Default"/>
              <w:spacing w:line="276" w:lineRule="auto"/>
              <w:jc w:val="both"/>
              <w:rPr>
                <w:rFonts w:ascii="Arial" w:hAnsi="Arial" w:cs="Arial"/>
                <w:sz w:val="22"/>
                <w:szCs w:val="22"/>
              </w:rPr>
            </w:pPr>
          </w:p>
          <w:p w14:paraId="4550D2EF" w14:textId="77777777" w:rsidR="002E5BE4" w:rsidRDefault="002E5BE4" w:rsidP="002E5BE4">
            <w:pPr>
              <w:pStyle w:val="Default"/>
              <w:numPr>
                <w:ilvl w:val="1"/>
                <w:numId w:val="1"/>
              </w:numPr>
              <w:spacing w:line="276" w:lineRule="auto"/>
              <w:jc w:val="both"/>
              <w:rPr>
                <w:rFonts w:ascii="Arial" w:hAnsi="Arial" w:cs="Arial"/>
                <w:sz w:val="22"/>
                <w:szCs w:val="22"/>
              </w:rPr>
            </w:pPr>
            <w:r w:rsidRPr="00607B69">
              <w:rPr>
                <w:rFonts w:ascii="Arial" w:hAnsi="Arial" w:cs="Arial"/>
                <w:b/>
                <w:bCs/>
                <w:sz w:val="22"/>
                <w:szCs w:val="22"/>
              </w:rPr>
              <w:t>Схема за безвъзмездна помощ с две сесии "Български продукции от сектора на КТИ в платформите на отворените пазари за изкуства в ЕС"</w:t>
            </w:r>
            <w:r w:rsidRPr="00607B69">
              <w:rPr>
                <w:rFonts w:ascii="Arial" w:hAnsi="Arial" w:cs="Arial"/>
                <w:sz w:val="22"/>
                <w:szCs w:val="22"/>
              </w:rPr>
              <w:t xml:space="preserve">. Предвижда се участие на български КТИ на отворените пазари в ЕС в Авиньон, Единбург, Кан, Берлин, Сан Себастиан, Локарно, Месе, Дюселдорф, Франкфурт, Залцбург, Венеция и др. Обхватът на безвъзмездните средства е от 100 000 лв. до 500 000 лв. с 10% съфинансиране от бенефициите. </w:t>
            </w:r>
          </w:p>
          <w:p w14:paraId="48B8F87C" w14:textId="77777777" w:rsidR="002E5BE4" w:rsidRPr="00607B69" w:rsidRDefault="002E5BE4" w:rsidP="002E5BE4">
            <w:pPr>
              <w:pStyle w:val="Default"/>
              <w:spacing w:line="276" w:lineRule="auto"/>
              <w:ind w:left="1080"/>
              <w:jc w:val="both"/>
              <w:rPr>
                <w:rFonts w:ascii="Arial" w:hAnsi="Arial" w:cs="Arial"/>
                <w:sz w:val="22"/>
                <w:szCs w:val="22"/>
              </w:rPr>
            </w:pPr>
          </w:p>
          <w:p w14:paraId="7B2188D5" w14:textId="77777777" w:rsidR="002E5BE4" w:rsidRDefault="002E5BE4" w:rsidP="002E5BE4">
            <w:pPr>
              <w:pStyle w:val="Default"/>
              <w:numPr>
                <w:ilvl w:val="1"/>
                <w:numId w:val="1"/>
              </w:numPr>
              <w:spacing w:line="276" w:lineRule="auto"/>
              <w:jc w:val="both"/>
              <w:rPr>
                <w:rFonts w:ascii="Arial" w:hAnsi="Arial" w:cs="Arial"/>
                <w:sz w:val="22"/>
                <w:szCs w:val="22"/>
              </w:rPr>
            </w:pPr>
            <w:r w:rsidRPr="00607B69">
              <w:rPr>
                <w:rFonts w:ascii="Arial" w:hAnsi="Arial" w:cs="Arial"/>
                <w:b/>
                <w:bCs/>
                <w:sz w:val="22"/>
                <w:szCs w:val="22"/>
              </w:rPr>
              <w:t>Схема</w:t>
            </w:r>
            <w:r>
              <w:rPr>
                <w:rFonts w:ascii="Arial" w:hAnsi="Arial" w:cs="Arial"/>
                <w:b/>
                <w:bCs/>
                <w:sz w:val="22"/>
                <w:szCs w:val="22"/>
              </w:rPr>
              <w:t xml:space="preserve"> за безвъзмездна помощ в четири</w:t>
            </w:r>
            <w:r w:rsidRPr="00607B69">
              <w:rPr>
                <w:rFonts w:ascii="Arial" w:hAnsi="Arial" w:cs="Arial"/>
                <w:b/>
                <w:bCs/>
                <w:sz w:val="22"/>
                <w:szCs w:val="22"/>
              </w:rPr>
              <w:t xml:space="preserve"> сесии "Създаване на български продукции и копродукции в сектора на КТИ"</w:t>
            </w:r>
            <w:r w:rsidRPr="00607B69">
              <w:rPr>
                <w:rFonts w:ascii="Arial" w:hAnsi="Arial" w:cs="Arial"/>
                <w:sz w:val="22"/>
                <w:szCs w:val="22"/>
              </w:rPr>
              <w:t xml:space="preserve">. Обхватът на безвъзмездните средства е от 70 000 лв. до 142 000 лв. с 10% съфинансиране от бенефициите. </w:t>
            </w:r>
          </w:p>
          <w:p w14:paraId="508B40C6" w14:textId="77777777" w:rsidR="002E5BE4" w:rsidRPr="00607B69" w:rsidRDefault="002E5BE4" w:rsidP="002E5BE4">
            <w:pPr>
              <w:pStyle w:val="Default"/>
              <w:spacing w:line="276" w:lineRule="auto"/>
              <w:jc w:val="both"/>
              <w:rPr>
                <w:rFonts w:ascii="Arial" w:hAnsi="Arial" w:cs="Arial"/>
                <w:sz w:val="22"/>
                <w:szCs w:val="22"/>
              </w:rPr>
            </w:pPr>
          </w:p>
          <w:p w14:paraId="0940CD44" w14:textId="77777777" w:rsidR="002E5BE4" w:rsidRDefault="002E5BE4" w:rsidP="002E5BE4">
            <w:pPr>
              <w:pStyle w:val="Body"/>
              <w:widowControl w:val="0"/>
              <w:numPr>
                <w:ilvl w:val="1"/>
                <w:numId w:val="1"/>
              </w:numPr>
              <w:jc w:val="both"/>
              <w:rPr>
                <w:rFonts w:ascii="Arial" w:cs="Arial"/>
              </w:rPr>
            </w:pPr>
            <w:r w:rsidRPr="00607B69">
              <w:rPr>
                <w:rFonts w:ascii="Arial" w:eastAsia="Times New Roman" w:cs="Arial"/>
                <w:b/>
                <w:bCs/>
                <w:u w:color="FF0000"/>
              </w:rPr>
              <w:t xml:space="preserve">Мениджмънт на схемите за </w:t>
            </w:r>
            <w:r w:rsidRPr="00607B69">
              <w:rPr>
                <w:rFonts w:ascii="Arial" w:cs="Arial"/>
                <w:b/>
                <w:bCs/>
              </w:rPr>
              <w:t xml:space="preserve">безвъзмездна помощ, </w:t>
            </w:r>
            <w:r w:rsidRPr="00607B69">
              <w:rPr>
                <w:rFonts w:ascii="Arial" w:cs="Arial"/>
              </w:rPr>
              <w:t xml:space="preserve">включва подготовка на пакетите за кандидатстване, информационна кампания, оценяване, договаряне, мониторинг, оценка и финансова верификация на изпълнението на договорите за безвъзмездна помощ. </w:t>
            </w:r>
          </w:p>
          <w:p w14:paraId="160F5B4F" w14:textId="77777777" w:rsidR="002E5BE4" w:rsidRPr="00607B69" w:rsidRDefault="002E5BE4" w:rsidP="002E5BE4">
            <w:pPr>
              <w:pStyle w:val="Body"/>
              <w:widowControl w:val="0"/>
              <w:jc w:val="both"/>
              <w:rPr>
                <w:rFonts w:ascii="Arial" w:eastAsia="Times New Roman" w:cs="Arial"/>
                <w:u w:color="FF0000"/>
              </w:rPr>
            </w:pPr>
          </w:p>
          <w:p w14:paraId="662EA29D" w14:textId="77777777" w:rsidR="002E5BE4" w:rsidRPr="00607B69" w:rsidRDefault="002E5BE4" w:rsidP="002E5BE4">
            <w:pPr>
              <w:pStyle w:val="Body"/>
              <w:widowControl w:val="0"/>
              <w:jc w:val="both"/>
              <w:rPr>
                <w:rFonts w:ascii="Arial" w:eastAsia="Times New Roman" w:cs="Arial"/>
                <w:u w:color="FF0000"/>
              </w:rPr>
            </w:pPr>
          </w:p>
          <w:p w14:paraId="262154BA" w14:textId="77777777" w:rsidR="002E5BE4" w:rsidRPr="00607B69" w:rsidRDefault="002E5BE4" w:rsidP="002E5BE4">
            <w:pPr>
              <w:pStyle w:val="Body"/>
              <w:widowControl w:val="0"/>
              <w:jc w:val="both"/>
              <w:rPr>
                <w:rFonts w:ascii="Arial" w:eastAsia="Times New Roman" w:cs="Arial"/>
                <w:b/>
                <w:bCs/>
              </w:rPr>
            </w:pPr>
            <w:r w:rsidRPr="00607B69">
              <w:rPr>
                <w:rFonts w:ascii="Arial" w:cs="Arial"/>
                <w:b/>
              </w:rPr>
              <w:t xml:space="preserve">Дейност 3. Програма „Подкрепа за развитие и достъп на публиката“ </w:t>
            </w:r>
          </w:p>
          <w:p w14:paraId="67BC286D" w14:textId="77777777" w:rsidR="002E5BE4" w:rsidRPr="00607B69" w:rsidRDefault="002E5BE4" w:rsidP="002E5BE4">
            <w:pPr>
              <w:pStyle w:val="Body"/>
              <w:widowControl w:val="0"/>
              <w:jc w:val="both"/>
              <w:rPr>
                <w:rFonts w:ascii="Arial" w:eastAsia="Times New Roman" w:cs="Arial"/>
                <w:b/>
                <w:bCs/>
              </w:rPr>
            </w:pPr>
            <w:r w:rsidRPr="00607B69">
              <w:rPr>
                <w:rFonts w:ascii="Arial" w:cs="Arial"/>
                <w:b/>
              </w:rPr>
              <w:t>Схеми за безвъзмездна помощ на НФК</w:t>
            </w:r>
          </w:p>
          <w:p w14:paraId="3867DB07" w14:textId="77777777" w:rsidR="002E5BE4" w:rsidRPr="00607B69" w:rsidRDefault="002E5BE4" w:rsidP="002E5BE4">
            <w:pPr>
              <w:pStyle w:val="Body"/>
              <w:widowControl w:val="0"/>
              <w:jc w:val="both"/>
              <w:rPr>
                <w:rFonts w:ascii="Arial" w:cs="Arial"/>
              </w:rPr>
            </w:pPr>
            <w:r w:rsidRPr="00607B69">
              <w:rPr>
                <w:rFonts w:ascii="Arial" w:cs="Arial"/>
              </w:rPr>
              <w:t xml:space="preserve">Програмата има за цел да увеличи достъпа на българската публика до качествена културна продукция, чрез стимулиране на търсенето и разпространението, както и чрез насърчаване на адаптацията към цифровите възможности за разпространение и </w:t>
            </w:r>
            <w:r w:rsidRPr="00607B69">
              <w:rPr>
                <w:rFonts w:ascii="Arial" w:cs="Arial"/>
              </w:rPr>
              <w:lastRenderedPageBreak/>
              <w:t>маркетинг на културно съдържание. Обществените предизвикателства, свързани с европейската идентичност и сближаване, като цяло могат да бъдат описани чрез липсата на „мостове“, свързващи различни части на обществото, включително различни територии. Те включват проблеми, свързани със социалното изключване, необходимостта от изграждане на по-тесни връзки между културите и развиването на чувство за обща принадлежност въз основа на нашето културно многообразие и общо наследство. Културата укрепва социалните ценности на идентичността, демокрацията и участието на общността. Културата има голям потенциал да засили европейското чувство за принадлежност, където многообразието представля</w:t>
            </w:r>
            <w:r>
              <w:rPr>
                <w:rFonts w:ascii="Arial" w:cs="Arial"/>
              </w:rPr>
              <w:t>ва предимство. Това е от особено</w:t>
            </w:r>
            <w:r w:rsidRPr="00607B69">
              <w:rPr>
                <w:rFonts w:ascii="Arial" w:cs="Arial"/>
              </w:rPr>
              <w:t xml:space="preserve"> значение, за да се даде възможност за устойчивост, социален достъп, сближаване на обществото, борба с радикализацията и равенство между половете, както и за справяне с политическата несигурност и необходимостта от единство в Европа.</w:t>
            </w:r>
          </w:p>
          <w:p w14:paraId="034A77EF" w14:textId="77777777" w:rsidR="002E5BE4" w:rsidRDefault="002E5BE4" w:rsidP="002E5BE4">
            <w:pPr>
              <w:pStyle w:val="Default"/>
              <w:spacing w:line="276" w:lineRule="auto"/>
              <w:jc w:val="both"/>
              <w:rPr>
                <w:rFonts w:ascii="Arial" w:hAnsi="Arial" w:cs="Arial"/>
                <w:sz w:val="22"/>
                <w:szCs w:val="22"/>
              </w:rPr>
            </w:pPr>
            <w:r w:rsidRPr="00607B69">
              <w:rPr>
                <w:rFonts w:ascii="Arial" w:hAnsi="Arial" w:cs="Arial"/>
                <w:sz w:val="22"/>
                <w:szCs w:val="22"/>
              </w:rPr>
              <w:t>По програмата ще бъдат обявени две покани за представяне на предложения, както следва:</w:t>
            </w:r>
          </w:p>
          <w:p w14:paraId="5AE7BDE0" w14:textId="77777777" w:rsidR="002E5BE4" w:rsidRPr="00607B69" w:rsidRDefault="002E5BE4" w:rsidP="002E5BE4">
            <w:pPr>
              <w:pStyle w:val="Default"/>
              <w:spacing w:line="276" w:lineRule="auto"/>
              <w:jc w:val="both"/>
              <w:rPr>
                <w:rFonts w:ascii="Arial" w:hAnsi="Arial" w:cs="Arial"/>
                <w:sz w:val="22"/>
                <w:szCs w:val="22"/>
              </w:rPr>
            </w:pPr>
          </w:p>
          <w:p w14:paraId="076C211C" w14:textId="77777777" w:rsidR="002E5BE4" w:rsidRDefault="002E5BE4" w:rsidP="002E5BE4">
            <w:pPr>
              <w:pStyle w:val="Default"/>
              <w:spacing w:line="276" w:lineRule="auto"/>
              <w:ind w:left="720"/>
              <w:jc w:val="both"/>
              <w:rPr>
                <w:rFonts w:ascii="Arial" w:hAnsi="Arial" w:cs="Arial"/>
                <w:sz w:val="22"/>
                <w:szCs w:val="22"/>
              </w:rPr>
            </w:pPr>
            <w:r w:rsidRPr="00607B69">
              <w:rPr>
                <w:rFonts w:ascii="Arial" w:hAnsi="Arial" w:cs="Arial"/>
                <w:b/>
                <w:bCs/>
                <w:sz w:val="22"/>
                <w:szCs w:val="22"/>
              </w:rPr>
              <w:t>3.1.</w:t>
            </w:r>
            <w:r>
              <w:rPr>
                <w:rFonts w:ascii="Arial" w:hAnsi="Arial" w:cs="Arial"/>
                <w:b/>
                <w:bCs/>
                <w:sz w:val="22"/>
                <w:szCs w:val="22"/>
              </w:rPr>
              <w:t xml:space="preserve"> </w:t>
            </w:r>
            <w:r w:rsidRPr="00607B69">
              <w:rPr>
                <w:rFonts w:ascii="Arial" w:hAnsi="Arial" w:cs="Arial"/>
                <w:b/>
                <w:bCs/>
                <w:sz w:val="22"/>
                <w:szCs w:val="22"/>
              </w:rPr>
              <w:t>Схема</w:t>
            </w:r>
            <w:r>
              <w:rPr>
                <w:rFonts w:ascii="Arial" w:hAnsi="Arial" w:cs="Arial"/>
                <w:b/>
                <w:bCs/>
                <w:sz w:val="22"/>
                <w:szCs w:val="22"/>
              </w:rPr>
              <w:t>та</w:t>
            </w:r>
            <w:r w:rsidRPr="00607B69">
              <w:rPr>
                <w:rFonts w:ascii="Arial" w:hAnsi="Arial" w:cs="Arial"/>
                <w:b/>
                <w:bCs/>
                <w:sz w:val="22"/>
                <w:szCs w:val="22"/>
              </w:rPr>
              <w:t xml:space="preserve"> за безвъзмездна помощ с четири сесии "Представяне пред българската публиката на съвременни европейски продукции от сектора на КТИ“</w:t>
            </w:r>
            <w:r w:rsidRPr="00607B69">
              <w:rPr>
                <w:rFonts w:ascii="Arial" w:hAnsi="Arial" w:cs="Arial"/>
                <w:sz w:val="22"/>
                <w:szCs w:val="22"/>
              </w:rPr>
              <w:t xml:space="preserve"> предвижда разпространението на съвременни европейски КТИ в 28 български града, обхващащи </w:t>
            </w:r>
            <w:r>
              <w:rPr>
                <w:rFonts w:ascii="Arial" w:hAnsi="Arial" w:cs="Arial"/>
                <w:sz w:val="22"/>
                <w:szCs w:val="22"/>
              </w:rPr>
              <w:t>шестте</w:t>
            </w:r>
            <w:r w:rsidRPr="00607B69">
              <w:rPr>
                <w:rFonts w:ascii="Arial" w:hAnsi="Arial" w:cs="Arial"/>
                <w:sz w:val="22"/>
                <w:szCs w:val="22"/>
              </w:rPr>
              <w:t xml:space="preserve"> планови региона на държавата. Обхватът на безвъзмездните средства е от 20 000 лв. до 120 000 лв. с 10% съфинансиране от бенефициите.</w:t>
            </w:r>
          </w:p>
          <w:p w14:paraId="5A3ED469" w14:textId="77777777" w:rsidR="002E5BE4" w:rsidRPr="00607B69" w:rsidRDefault="002E5BE4" w:rsidP="002E5BE4">
            <w:pPr>
              <w:pStyle w:val="Default"/>
              <w:spacing w:line="276" w:lineRule="auto"/>
              <w:jc w:val="both"/>
              <w:rPr>
                <w:rFonts w:ascii="Arial" w:hAnsi="Arial" w:cs="Arial"/>
                <w:sz w:val="22"/>
                <w:szCs w:val="22"/>
              </w:rPr>
            </w:pPr>
          </w:p>
          <w:p w14:paraId="3767A48D" w14:textId="77777777" w:rsidR="002E5BE4" w:rsidRDefault="002E5BE4" w:rsidP="002E5BE4">
            <w:pPr>
              <w:pStyle w:val="Body"/>
              <w:widowControl w:val="0"/>
              <w:ind w:left="720"/>
              <w:jc w:val="both"/>
              <w:rPr>
                <w:rFonts w:ascii="Arial" w:cs="Arial"/>
              </w:rPr>
            </w:pPr>
            <w:r w:rsidRPr="00607B69">
              <w:rPr>
                <w:rFonts w:ascii="Arial" w:cs="Arial"/>
                <w:b/>
                <w:bCs/>
              </w:rPr>
              <w:t>3.2.</w:t>
            </w:r>
            <w:r w:rsidRPr="00607B69">
              <w:rPr>
                <w:rFonts w:ascii="Arial" w:cs="Arial"/>
              </w:rPr>
              <w:t xml:space="preserve"> </w:t>
            </w:r>
            <w:r w:rsidRPr="00607B69">
              <w:rPr>
                <w:rFonts w:ascii="Arial" w:cs="Arial"/>
                <w:b/>
                <w:bCs/>
              </w:rPr>
              <w:t>Схема за безвъзмездна помощ с четири сесии "Представяне пред българската публиката на съвременни български продукции от сектора на КТИ“</w:t>
            </w:r>
            <w:r w:rsidRPr="00607B69">
              <w:rPr>
                <w:rFonts w:ascii="Arial" w:cs="Arial"/>
              </w:rPr>
              <w:t>. Втората покана има за цел разпространението на съвременните български КТИ извън основните регионални градове в шестте планови региона на държавата в населени места със слабо развит икономически и културен статус. Обхватът на безвъзмездните средства е от 6 000 лв. до 16 000 лв. с 10% съфинансиране от бенефициите.</w:t>
            </w:r>
          </w:p>
          <w:p w14:paraId="1E2077FC" w14:textId="77777777" w:rsidR="002E5BE4" w:rsidRPr="00607B69" w:rsidRDefault="002E5BE4" w:rsidP="002E5BE4">
            <w:pPr>
              <w:pStyle w:val="Body"/>
              <w:widowControl w:val="0"/>
              <w:ind w:left="720"/>
              <w:jc w:val="both"/>
              <w:rPr>
                <w:rFonts w:ascii="Arial" w:cs="Arial"/>
              </w:rPr>
            </w:pPr>
          </w:p>
          <w:p w14:paraId="5EA7D251" w14:textId="77777777" w:rsidR="002E5BE4" w:rsidRDefault="002E5BE4" w:rsidP="002E5BE4">
            <w:pPr>
              <w:pStyle w:val="Body"/>
              <w:widowControl w:val="0"/>
              <w:ind w:left="720"/>
              <w:jc w:val="both"/>
              <w:rPr>
                <w:rFonts w:ascii="Arial" w:cs="Arial"/>
              </w:rPr>
            </w:pPr>
            <w:r w:rsidRPr="00607B69">
              <w:rPr>
                <w:rFonts w:ascii="Arial" w:eastAsia="Times New Roman" w:cs="Arial"/>
                <w:b/>
                <w:bCs/>
                <w:u w:color="FF0000"/>
              </w:rPr>
              <w:t xml:space="preserve">3.3. Мениджмънт на схемите за </w:t>
            </w:r>
            <w:r w:rsidRPr="00607B69">
              <w:rPr>
                <w:rFonts w:ascii="Arial" w:cs="Arial"/>
                <w:b/>
                <w:bCs/>
              </w:rPr>
              <w:t xml:space="preserve">безвъзмездна помощ, </w:t>
            </w:r>
            <w:r w:rsidRPr="00607B69">
              <w:rPr>
                <w:rFonts w:ascii="Arial" w:cs="Arial"/>
              </w:rPr>
              <w:t>включва подготовка на пакетите за кандидатстване, информационна кампания, оценяване, договаряне, мониторинг, оценка и финансова верификация на изпълнението на договорите за безвъзмездна помощ.</w:t>
            </w:r>
          </w:p>
          <w:p w14:paraId="673C4A1C" w14:textId="77777777" w:rsidR="002E5BE4" w:rsidRPr="00607B69" w:rsidRDefault="002E5BE4" w:rsidP="002E5BE4">
            <w:pPr>
              <w:pStyle w:val="Body"/>
              <w:widowControl w:val="0"/>
              <w:ind w:left="720"/>
              <w:jc w:val="both"/>
              <w:rPr>
                <w:rFonts w:ascii="Arial" w:cs="Arial"/>
              </w:rPr>
            </w:pPr>
          </w:p>
          <w:p w14:paraId="0EF40877" w14:textId="77777777" w:rsidR="002E5BE4" w:rsidRPr="00607B69" w:rsidRDefault="002E5BE4" w:rsidP="002E5BE4">
            <w:pPr>
              <w:pStyle w:val="Body"/>
              <w:widowControl w:val="0"/>
              <w:jc w:val="both"/>
              <w:rPr>
                <w:rFonts w:ascii="Arial" w:eastAsia="Times New Roman" w:cs="Arial"/>
                <w:color w:val="FF0000"/>
                <w:u w:color="FF0000"/>
              </w:rPr>
            </w:pPr>
          </w:p>
          <w:p w14:paraId="42F56D1C" w14:textId="77777777" w:rsidR="002E5BE4" w:rsidRPr="00607B69" w:rsidRDefault="002E5BE4" w:rsidP="002E5BE4">
            <w:pPr>
              <w:pStyle w:val="Body"/>
              <w:widowControl w:val="0"/>
              <w:spacing w:line="240" w:lineRule="exact"/>
              <w:jc w:val="both"/>
              <w:rPr>
                <w:rFonts w:ascii="Arial" w:eastAsia="Times New Roman" w:cs="Arial"/>
                <w:b/>
                <w:bCs/>
              </w:rPr>
            </w:pPr>
            <w:r w:rsidRPr="00607B69">
              <w:rPr>
                <w:rFonts w:ascii="Arial" w:cs="Arial"/>
                <w:b/>
              </w:rPr>
              <w:t xml:space="preserve">Дейност 4. Програма „Ново поколение местни политики за култура“ </w:t>
            </w:r>
          </w:p>
          <w:p w14:paraId="5C67A7A2" w14:textId="77777777" w:rsidR="002E5BE4" w:rsidRPr="00607B69" w:rsidRDefault="002E5BE4" w:rsidP="002E5BE4">
            <w:pPr>
              <w:pStyle w:val="Body"/>
              <w:widowControl w:val="0"/>
              <w:jc w:val="both"/>
              <w:rPr>
                <w:rFonts w:ascii="Arial" w:eastAsia="Times New Roman" w:cs="Arial"/>
                <w:b/>
                <w:bCs/>
              </w:rPr>
            </w:pPr>
            <w:r w:rsidRPr="00607B69">
              <w:rPr>
                <w:rFonts w:ascii="Arial" w:cs="Arial"/>
                <w:b/>
              </w:rPr>
              <w:t xml:space="preserve">Схеми за безвъзмездна помощ на НФК за българските общини </w:t>
            </w:r>
          </w:p>
          <w:p w14:paraId="0F96D13D" w14:textId="77777777" w:rsidR="002E5BE4" w:rsidRPr="00607B69" w:rsidRDefault="002E5BE4" w:rsidP="002E5BE4">
            <w:pPr>
              <w:pStyle w:val="Body"/>
              <w:widowControl w:val="0"/>
              <w:spacing w:line="240" w:lineRule="exact"/>
              <w:jc w:val="both"/>
              <w:rPr>
                <w:rFonts w:ascii="Arial" w:cs="Arial"/>
                <w:color w:val="1D2228"/>
              </w:rPr>
            </w:pPr>
            <w:r w:rsidRPr="00607B69">
              <w:rPr>
                <w:rFonts w:ascii="Arial" w:cs="Arial"/>
              </w:rPr>
              <w:t xml:space="preserve">Потенциалът на КТИ е голям, като се има предвид важната роля на културата за икономическото и социалното развитие на градовете и регионите, както и тяхната способност да допринасят допълнително за преодоляване на различията. Програмата има за цел да стимулира процеса на децентрализация в областта на културата, чрез стимулиране на стратегически и устойчиви местни политики в областта на културата и чрез </w:t>
            </w:r>
            <w:r w:rsidRPr="00607B69">
              <w:rPr>
                <w:rFonts w:ascii="Arial" w:cs="Arial"/>
                <w:u w:color="FF0000"/>
              </w:rPr>
              <w:t>повишаване на административния капацитет на българските общини</w:t>
            </w:r>
            <w:r w:rsidRPr="00607B69">
              <w:rPr>
                <w:rFonts w:ascii="Arial" w:cs="Arial"/>
              </w:rPr>
              <w:t xml:space="preserve">. Това ще стане, чрез увеличаване на обхвата и въздействието на съществуващите общински инструменти за културни политики и чрез насърчаване на партньорствата, изграждането на мрежи и обмена на ноу-хау в културните инвестиции между българските общини. </w:t>
            </w:r>
            <w:r w:rsidRPr="00607B69">
              <w:rPr>
                <w:rFonts w:ascii="Arial" w:cs="Arial"/>
                <w:u w:color="FF0000"/>
              </w:rPr>
              <w:t xml:space="preserve">Програмата ще допринесе за по-ефикасна комуникация между </w:t>
            </w:r>
            <w:r w:rsidRPr="00607B69">
              <w:rPr>
                <w:rFonts w:ascii="Arial" w:cs="Arial"/>
                <w:u w:color="FF0000"/>
              </w:rPr>
              <w:lastRenderedPageBreak/>
              <w:t>общините и културните оператори, действащи на тяхна територия. Тя ще подкрепи прилагането на ефективни решения за финансиране на културата на местно ниво и ще разработи по-добро планиране и прогнозиране на общинските бюджети за култура.</w:t>
            </w:r>
            <w:r w:rsidRPr="00607B69">
              <w:rPr>
                <w:rFonts w:ascii="Arial" w:eastAsia="Times New Roman" w:cs="Arial"/>
                <w:u w:color="FF0000"/>
              </w:rPr>
              <w:t xml:space="preserve"> </w:t>
            </w:r>
            <w:r>
              <w:rPr>
                <w:rFonts w:ascii="Arial" w:eastAsia="Times New Roman" w:cs="Arial"/>
                <w:u w:color="FF0000"/>
              </w:rPr>
              <w:t xml:space="preserve">Някой от </w:t>
            </w:r>
            <w:r>
              <w:rPr>
                <w:rFonts w:ascii="Arial" w:cs="Arial"/>
              </w:rPr>
              <w:t>б</w:t>
            </w:r>
            <w:r w:rsidRPr="00607B69">
              <w:rPr>
                <w:rFonts w:ascii="Arial" w:cs="Arial"/>
              </w:rPr>
              <w:t xml:space="preserve">ългарските общини са разработили </w:t>
            </w:r>
            <w:r w:rsidRPr="00607B69">
              <w:rPr>
                <w:rFonts w:ascii="Arial" w:cs="Arial"/>
                <w:color w:val="1D2228"/>
              </w:rPr>
              <w:t>програми/фондове</w:t>
            </w:r>
            <w:r w:rsidRPr="00607B69">
              <w:rPr>
                <w:rFonts w:ascii="Arial" w:cs="Arial"/>
              </w:rPr>
              <w:t xml:space="preserve"> „Култура“ в техните бюджети за п</w:t>
            </w:r>
            <w:r w:rsidRPr="00607B69">
              <w:rPr>
                <w:rFonts w:ascii="Arial" w:cs="Arial"/>
                <w:color w:val="1D2228"/>
              </w:rPr>
              <w:t>редоставяне на финансови средства на конкурсен принцип на организации и артисти на свободна практика от сектора на КТИ. Годишният размер на средствата се определя и приема ежегодно от съответните общински съвети.</w:t>
            </w:r>
          </w:p>
          <w:p w14:paraId="27E5CD68" w14:textId="77777777" w:rsidR="002E5BE4" w:rsidRPr="00607B69" w:rsidRDefault="002E5BE4" w:rsidP="002E5BE4">
            <w:pPr>
              <w:pStyle w:val="Body"/>
              <w:widowControl w:val="0"/>
              <w:spacing w:line="240" w:lineRule="exact"/>
              <w:jc w:val="both"/>
              <w:rPr>
                <w:rFonts w:ascii="Arial" w:cs="Arial"/>
              </w:rPr>
            </w:pPr>
            <w:r w:rsidRPr="00607B69">
              <w:rPr>
                <w:rFonts w:ascii="Arial" w:cs="Arial"/>
              </w:rPr>
              <w:t>По програмата ще бъдат обявени две покани за представяне на предложения, както следва:</w:t>
            </w:r>
          </w:p>
          <w:p w14:paraId="3605C3C2" w14:textId="77777777" w:rsidR="002E5BE4" w:rsidRDefault="002E5BE4" w:rsidP="002E5BE4">
            <w:pPr>
              <w:pStyle w:val="Body"/>
              <w:widowControl w:val="0"/>
              <w:spacing w:line="240" w:lineRule="exact"/>
              <w:jc w:val="both"/>
              <w:rPr>
                <w:rFonts w:ascii="Arial" w:cs="Arial"/>
                <w:b/>
                <w:bCs/>
              </w:rPr>
            </w:pPr>
          </w:p>
          <w:p w14:paraId="1633AD11" w14:textId="77777777" w:rsidR="002E5BE4" w:rsidRDefault="002E5BE4" w:rsidP="002E5BE4">
            <w:pPr>
              <w:pStyle w:val="Body"/>
              <w:widowControl w:val="0"/>
              <w:spacing w:line="240" w:lineRule="exact"/>
              <w:ind w:left="720"/>
              <w:jc w:val="both"/>
              <w:rPr>
                <w:rFonts w:ascii="Arial" w:cs="Arial"/>
                <w:u w:color="FF0000"/>
              </w:rPr>
            </w:pPr>
            <w:r w:rsidRPr="00607B69">
              <w:rPr>
                <w:rFonts w:ascii="Arial" w:cs="Arial"/>
                <w:b/>
                <w:bCs/>
              </w:rPr>
              <w:t xml:space="preserve">4.1. Схема за безвъзмездна помощ </w:t>
            </w:r>
            <w:r>
              <w:rPr>
                <w:rFonts w:ascii="Arial" w:cs="Arial"/>
                <w:b/>
                <w:bCs/>
              </w:rPr>
              <w:t xml:space="preserve">с две сесии </w:t>
            </w:r>
            <w:r w:rsidRPr="00607B69">
              <w:rPr>
                <w:rFonts w:ascii="Arial" w:cs="Arial"/>
                <w:b/>
                <w:bCs/>
              </w:rPr>
              <w:t>„Ново поколение местни политики за култура“</w:t>
            </w:r>
            <w:r w:rsidRPr="00607B69">
              <w:rPr>
                <w:rFonts w:ascii="Arial" w:cs="Arial"/>
                <w:u w:color="FF0000"/>
              </w:rPr>
              <w:t xml:space="preserve"> </w:t>
            </w:r>
            <w:r>
              <w:rPr>
                <w:rFonts w:ascii="Arial" w:cs="Arial"/>
                <w:b/>
                <w:bCs/>
                <w:u w:color="FF0000"/>
              </w:rPr>
              <w:t>/</w:t>
            </w:r>
            <w:r w:rsidRPr="005C7A51">
              <w:rPr>
                <w:rFonts w:ascii="Arial" w:cs="Arial"/>
                <w:b/>
                <w:bCs/>
                <w:u w:color="FF0000"/>
              </w:rPr>
              <w:t>програма/фонд "Култура" за големи общини.</w:t>
            </w:r>
            <w:r w:rsidRPr="00607B69">
              <w:rPr>
                <w:rFonts w:ascii="Arial" w:cs="Arial"/>
                <w:b/>
                <w:bCs/>
              </w:rPr>
              <w:t xml:space="preserve"> </w:t>
            </w:r>
            <w:r w:rsidRPr="00607B69">
              <w:rPr>
                <w:rFonts w:ascii="Arial" w:cs="Arial"/>
              </w:rPr>
              <w:t>По първата покана</w:t>
            </w:r>
            <w:r w:rsidRPr="00607B69">
              <w:rPr>
                <w:rFonts w:ascii="Arial" w:cs="Arial"/>
                <w:u w:color="FF0000"/>
              </w:rPr>
              <w:t xml:space="preserve"> всички общини могат да кандидатстват за съфинансиране на съществуващия им фонд/програма „Култура“. </w:t>
            </w:r>
            <w:r w:rsidRPr="00607B69">
              <w:rPr>
                <w:rFonts w:ascii="Arial" w:cs="Arial"/>
              </w:rPr>
              <w:t>Обхватът на безвъзмездните средства е от 500 000 лв. до 2 000 000 лв. с 50% съфинансиране от бенефициите.</w:t>
            </w:r>
            <w:r w:rsidRPr="00607B69">
              <w:rPr>
                <w:rFonts w:ascii="Arial" w:cs="Arial"/>
                <w:u w:color="FF0000"/>
              </w:rPr>
              <w:t xml:space="preserve"> Общините трябва да осигурят устойчивост и на ниво кандидатстване, като имат решение на общинските съвети за най-малко 50% от исканата сума.</w:t>
            </w:r>
          </w:p>
          <w:p w14:paraId="57831282" w14:textId="77777777" w:rsidR="002E5BE4" w:rsidRPr="00607B69" w:rsidRDefault="002E5BE4" w:rsidP="002E5BE4">
            <w:pPr>
              <w:pStyle w:val="Body"/>
              <w:widowControl w:val="0"/>
              <w:spacing w:line="240" w:lineRule="exact"/>
              <w:jc w:val="both"/>
              <w:rPr>
                <w:rFonts w:ascii="Arial" w:cs="Arial"/>
                <w:u w:color="FF0000"/>
              </w:rPr>
            </w:pPr>
          </w:p>
          <w:p w14:paraId="5A69DAF1" w14:textId="77777777" w:rsidR="002E5BE4" w:rsidRDefault="002E5BE4" w:rsidP="002E5BE4">
            <w:pPr>
              <w:pStyle w:val="Body"/>
              <w:widowControl w:val="0"/>
              <w:spacing w:line="240" w:lineRule="exact"/>
              <w:ind w:left="720"/>
              <w:jc w:val="both"/>
              <w:rPr>
                <w:rFonts w:ascii="Arial" w:cs="Arial"/>
                <w:u w:color="FF0000"/>
              </w:rPr>
            </w:pPr>
            <w:r w:rsidRPr="00607B69">
              <w:rPr>
                <w:rFonts w:ascii="Arial" w:cs="Arial"/>
                <w:b/>
                <w:bCs/>
                <w:u w:color="FF0000"/>
              </w:rPr>
              <w:t>4.2. Схема за безвъзмездна помощ „Ново поколение местни политики за култура“</w:t>
            </w:r>
            <w:r>
              <w:rPr>
                <w:rFonts w:ascii="Arial" w:cs="Arial"/>
                <w:b/>
                <w:bCs/>
                <w:u w:color="FF0000"/>
              </w:rPr>
              <w:t xml:space="preserve">/ </w:t>
            </w:r>
            <w:r w:rsidRPr="00607B69">
              <w:rPr>
                <w:rFonts w:ascii="Arial" w:cs="Arial"/>
                <w:b/>
                <w:bCs/>
                <w:u w:color="FF0000"/>
              </w:rPr>
              <w:t>програма/фонд "Култура" за малки общини.</w:t>
            </w:r>
            <w:r w:rsidRPr="00607B69">
              <w:rPr>
                <w:rFonts w:ascii="Arial" w:cs="Arial"/>
                <w:u w:color="FF0000"/>
              </w:rPr>
              <w:t xml:space="preserve"> Втората покана предвиждаше всички общини, които нямат активен фонд/ програма за финансиране на културни проекти на конкурентна основа. </w:t>
            </w:r>
            <w:r w:rsidRPr="00607B69">
              <w:rPr>
                <w:rFonts w:ascii="Arial" w:cs="Arial"/>
              </w:rPr>
              <w:t>Обхватът на безвъзмездните средства е от 100 000 лв. до 200 000 лв. с 25% съфинансиране от бенефициите.</w:t>
            </w:r>
            <w:r w:rsidRPr="00607B69">
              <w:rPr>
                <w:rFonts w:ascii="Arial" w:cs="Arial"/>
                <w:u w:color="FF0000"/>
              </w:rPr>
              <w:t xml:space="preserve"> Общините трябва да осигурят устойчивост и на ниво кандидатстване да имат решение на общинските съвети за най-малко 25% от исканата сума.</w:t>
            </w:r>
          </w:p>
          <w:p w14:paraId="2A0147F6" w14:textId="77777777" w:rsidR="002E5BE4" w:rsidRPr="00607B69" w:rsidRDefault="002E5BE4" w:rsidP="002E5BE4">
            <w:pPr>
              <w:pStyle w:val="Body"/>
              <w:widowControl w:val="0"/>
              <w:spacing w:line="240" w:lineRule="exact"/>
              <w:ind w:left="720"/>
              <w:jc w:val="both"/>
              <w:rPr>
                <w:rFonts w:ascii="Arial" w:eastAsia="Times New Roman" w:cs="Arial"/>
              </w:rPr>
            </w:pPr>
          </w:p>
          <w:p w14:paraId="0E327E3D" w14:textId="77777777" w:rsidR="002E5BE4" w:rsidRPr="00607B69" w:rsidRDefault="002E5BE4" w:rsidP="002E5BE4">
            <w:pPr>
              <w:pStyle w:val="Body"/>
              <w:widowControl w:val="0"/>
              <w:ind w:left="720"/>
              <w:jc w:val="both"/>
              <w:rPr>
                <w:rFonts w:ascii="Arial" w:cs="Arial"/>
              </w:rPr>
            </w:pPr>
            <w:r w:rsidRPr="00607B69">
              <w:rPr>
                <w:rFonts w:ascii="Arial" w:eastAsia="Times New Roman" w:cs="Arial"/>
                <w:b/>
                <w:bCs/>
                <w:u w:color="FF0000"/>
              </w:rPr>
              <w:t xml:space="preserve">4.3. Мениджмънт на схемите за </w:t>
            </w:r>
            <w:r w:rsidRPr="00607B69">
              <w:rPr>
                <w:rFonts w:ascii="Arial" w:cs="Arial"/>
                <w:b/>
                <w:bCs/>
              </w:rPr>
              <w:t xml:space="preserve">безвъзмездна помощ, </w:t>
            </w:r>
            <w:r w:rsidRPr="00607B69">
              <w:rPr>
                <w:rFonts w:ascii="Arial" w:cs="Arial"/>
              </w:rPr>
              <w:t>включва подготовка на пакетите за кандидатстване, информационна кампания, оценяване, договаряне, мониторинг, оценка и финансова верификация на изпълнението на договорите за безвъзмездна помощ.</w:t>
            </w:r>
          </w:p>
          <w:p w14:paraId="4221A3C8" w14:textId="77777777" w:rsidR="002E5BE4" w:rsidRDefault="002E5BE4" w:rsidP="002E5BE4">
            <w:pPr>
              <w:pStyle w:val="Body"/>
              <w:widowControl w:val="0"/>
              <w:jc w:val="both"/>
              <w:rPr>
                <w:rFonts w:ascii="Arial" w:eastAsia="Times New Roman" w:cs="Arial"/>
              </w:rPr>
            </w:pPr>
          </w:p>
          <w:p w14:paraId="1F94FD49" w14:textId="77777777" w:rsidR="002E5BE4" w:rsidRPr="00607B69" w:rsidRDefault="002E5BE4" w:rsidP="002E5BE4">
            <w:pPr>
              <w:pStyle w:val="Body"/>
              <w:widowControl w:val="0"/>
              <w:jc w:val="both"/>
              <w:rPr>
                <w:rFonts w:ascii="Arial" w:eastAsia="Times New Roman" w:cs="Arial"/>
              </w:rPr>
            </w:pPr>
          </w:p>
          <w:p w14:paraId="31C593E4" w14:textId="77777777" w:rsidR="002E5BE4" w:rsidRPr="00607B69" w:rsidRDefault="002E5BE4" w:rsidP="002E5BE4">
            <w:pPr>
              <w:pStyle w:val="Body"/>
              <w:widowControl w:val="0"/>
              <w:jc w:val="both"/>
              <w:rPr>
                <w:rFonts w:ascii="Arial" w:eastAsia="Times New Roman" w:cs="Arial"/>
                <w:b/>
                <w:bCs/>
              </w:rPr>
            </w:pPr>
            <w:r w:rsidRPr="00607B69">
              <w:rPr>
                <w:rFonts w:ascii="Arial" w:cs="Arial"/>
                <w:b/>
              </w:rPr>
              <w:t xml:space="preserve">Дейност 5. Изграждане на капацитет за културната администрация и оператори в КТИ </w:t>
            </w:r>
          </w:p>
          <w:p w14:paraId="03C7586A" w14:textId="77777777" w:rsidR="002E5BE4" w:rsidRDefault="002E5BE4" w:rsidP="002E5BE4">
            <w:pPr>
              <w:pStyle w:val="Body"/>
              <w:widowControl w:val="0"/>
              <w:jc w:val="both"/>
              <w:rPr>
                <w:rFonts w:ascii="Arial" w:cs="Arial"/>
              </w:rPr>
            </w:pPr>
            <w:r w:rsidRPr="00607B69">
              <w:rPr>
                <w:rFonts w:ascii="Arial" w:cs="Arial"/>
              </w:rPr>
              <w:t>Програма за развитие на нови умения и компетенции за стратегическо планиране и добро управление на културната администрация, както и за създаване на нови бизнес модели и иновативни подходи, по-специално по отношение на преминаването към цифрови технологии за КТИ.</w:t>
            </w:r>
          </w:p>
          <w:p w14:paraId="11979208" w14:textId="77777777" w:rsidR="002E5BE4" w:rsidRPr="00607B69" w:rsidRDefault="002E5BE4" w:rsidP="002E5BE4">
            <w:pPr>
              <w:pStyle w:val="Body"/>
              <w:widowControl w:val="0"/>
              <w:jc w:val="both"/>
              <w:rPr>
                <w:rFonts w:ascii="Arial" w:cs="Arial"/>
              </w:rPr>
            </w:pPr>
          </w:p>
          <w:p w14:paraId="7ECA073B" w14:textId="77777777" w:rsidR="002E5BE4" w:rsidRDefault="002E5BE4" w:rsidP="002E5BE4">
            <w:pPr>
              <w:pStyle w:val="Body"/>
              <w:widowControl w:val="0"/>
              <w:jc w:val="both"/>
              <w:rPr>
                <w:rFonts w:ascii="Arial" w:cs="Arial"/>
              </w:rPr>
            </w:pPr>
            <w:r w:rsidRPr="00607B69">
              <w:rPr>
                <w:rFonts w:ascii="Arial" w:eastAsia="Times New Roman" w:cs="Arial"/>
                <w:b/>
                <w:bCs/>
              </w:rPr>
              <w:t xml:space="preserve">5.1. Обучителна програма за нови управленски практики на администрацията на КТИ от държавния, общински и независим сектор. </w:t>
            </w:r>
            <w:r w:rsidRPr="00607B69">
              <w:rPr>
                <w:rFonts w:ascii="Arial" w:eastAsia="Times New Roman" w:cs="Arial"/>
              </w:rPr>
              <w:t>Програмата</w:t>
            </w:r>
            <w:r w:rsidRPr="00607B69">
              <w:rPr>
                <w:rFonts w:ascii="Arial" w:cs="Arial"/>
              </w:rPr>
              <w:t xml:space="preserve"> предвижда комбинация от онлайн и офлайн обучение, ръководство и наставничество на участниците. Подобряване на културния мениджмънт, културното предприемачество, развитие на публиката, използване на цифрови инструменти, прилагане на екологични стандарти за културни събития. Като инвестира в човешкия капитал, чрез развиване на цифров капацитет за подкрепа на устойчиви и ефикасни системи за обучение и научни изследвания, дейността ще изгради надеждна цифрова образователна екосистема от съдържание, инструменти, услуги и платформи, включително за подобряване на достъпа до цифрови технологии и изграждане на умения за дистанционно обучение за групите, изправени пред затруднения, с цел намаляване на цифровото разделение. </w:t>
            </w:r>
            <w:r w:rsidRPr="00607B69">
              <w:rPr>
                <w:rFonts w:ascii="Arial" w:cs="Arial"/>
              </w:rPr>
              <w:lastRenderedPageBreak/>
              <w:t>Това ще доведе до формулиране и прилагане на адекватни политики за развитие на публика и достъп до култура, ще предостави възможности на културните оператори да планират и прилагат ефективни стратегии за продажбата на своите продукти.</w:t>
            </w:r>
          </w:p>
          <w:p w14:paraId="278469D5" w14:textId="77777777" w:rsidR="002E5BE4" w:rsidRPr="00607B69" w:rsidRDefault="002E5BE4" w:rsidP="002E5BE4">
            <w:pPr>
              <w:pStyle w:val="Body"/>
              <w:widowControl w:val="0"/>
              <w:jc w:val="both"/>
              <w:rPr>
                <w:rFonts w:ascii="Arial" w:eastAsia="Times New Roman" w:cs="Arial"/>
                <w:b/>
                <w:bCs/>
              </w:rPr>
            </w:pPr>
          </w:p>
          <w:p w14:paraId="1DDCCC8C" w14:textId="77777777" w:rsidR="002E5BE4" w:rsidRDefault="002E5BE4" w:rsidP="002E5BE4">
            <w:pPr>
              <w:pStyle w:val="ListParagraph"/>
              <w:widowControl w:val="0"/>
              <w:pBdr>
                <w:top w:val="nil"/>
                <w:left w:val="nil"/>
                <w:bottom w:val="nil"/>
                <w:right w:val="nil"/>
                <w:between w:val="nil"/>
              </w:pBdr>
              <w:ind w:left="0"/>
              <w:jc w:val="both"/>
              <w:rPr>
                <w:bCs/>
              </w:rPr>
            </w:pPr>
            <w:r w:rsidRPr="00607B69">
              <w:rPr>
                <w:b/>
              </w:rPr>
              <w:t>5.2. Схема за безвъзмездна помощ в две сесии "Нови управленски практики в сектора на КТИ" .</w:t>
            </w:r>
            <w:r w:rsidRPr="00607B69">
              <w:rPr>
                <w:bCs/>
              </w:rPr>
              <w:t xml:space="preserve"> Обхватът на финансиране е до 4 000 лв. за реализация на проекти за разработване на нови управленски практики и адаптиране към условията на цифрово предоставяне на съдържание и услуги.</w:t>
            </w:r>
          </w:p>
          <w:p w14:paraId="3A9FEB3B" w14:textId="77777777" w:rsidR="002E5BE4" w:rsidRPr="00607B69" w:rsidRDefault="002E5BE4" w:rsidP="002E5BE4">
            <w:pPr>
              <w:pStyle w:val="ListParagraph"/>
              <w:widowControl w:val="0"/>
              <w:pBdr>
                <w:top w:val="nil"/>
                <w:left w:val="nil"/>
                <w:bottom w:val="nil"/>
                <w:right w:val="nil"/>
                <w:between w:val="nil"/>
              </w:pBdr>
              <w:ind w:left="0"/>
              <w:jc w:val="both"/>
              <w:rPr>
                <w:bCs/>
              </w:rPr>
            </w:pPr>
          </w:p>
          <w:p w14:paraId="240FFE24" w14:textId="76B0FD44" w:rsidR="002E5BE4" w:rsidRDefault="002E5BE4" w:rsidP="002E5BE4">
            <w:pPr>
              <w:pStyle w:val="ListParagraph"/>
              <w:widowControl w:val="0"/>
              <w:pBdr>
                <w:top w:val="nil"/>
                <w:left w:val="nil"/>
                <w:bottom w:val="nil"/>
                <w:right w:val="nil"/>
                <w:between w:val="nil"/>
              </w:pBdr>
              <w:ind w:left="0"/>
              <w:jc w:val="both"/>
              <w:rPr>
                <w:b/>
              </w:rPr>
            </w:pPr>
            <w:r w:rsidRPr="00607B69">
              <w:rPr>
                <w:b/>
              </w:rPr>
              <w:t xml:space="preserve">5.3. Мониторинг </w:t>
            </w:r>
            <w:r>
              <w:rPr>
                <w:b/>
              </w:rPr>
              <w:t>и</w:t>
            </w:r>
            <w:r w:rsidRPr="00607B69">
              <w:rPr>
                <w:b/>
              </w:rPr>
              <w:t xml:space="preserve"> оценка на схемата за безвъзмездна помощ в две сесии "Нови управленски практики в сектора на КТИ".</w:t>
            </w:r>
          </w:p>
          <w:p w14:paraId="7EF11CC0" w14:textId="3D2CA8A4" w:rsidR="00A22282" w:rsidRDefault="00A22282" w:rsidP="002E5BE4">
            <w:pPr>
              <w:pStyle w:val="ListParagraph"/>
              <w:widowControl w:val="0"/>
              <w:pBdr>
                <w:top w:val="nil"/>
                <w:left w:val="nil"/>
                <w:bottom w:val="nil"/>
                <w:right w:val="nil"/>
                <w:between w:val="nil"/>
              </w:pBdr>
              <w:ind w:left="0"/>
              <w:jc w:val="both"/>
              <w:rPr>
                <w:b/>
              </w:rPr>
            </w:pPr>
          </w:p>
          <w:p w14:paraId="31866ADD" w14:textId="77777777" w:rsidR="00A22282" w:rsidRPr="001E521C" w:rsidRDefault="00A22282" w:rsidP="00A22282">
            <w:pPr>
              <w:pStyle w:val="yiv1531560104ydp693bf732msonormal"/>
              <w:shd w:val="clear" w:color="auto" w:fill="FFFFFF"/>
              <w:spacing w:before="0" w:beforeAutospacing="0" w:after="0" w:afterAutospacing="0"/>
              <w:rPr>
                <w:rFonts w:ascii="Arial" w:hAnsi="Arial" w:cs="Arial"/>
                <w:b/>
                <w:bCs/>
                <w:color w:val="00B050"/>
                <w:sz w:val="22"/>
                <w:szCs w:val="22"/>
                <w:u w:val="single"/>
              </w:rPr>
            </w:pPr>
          </w:p>
          <w:p w14:paraId="0CBE7003" w14:textId="77777777" w:rsidR="00A22282" w:rsidRPr="00B64650" w:rsidRDefault="00A22282" w:rsidP="00A22282">
            <w:pPr>
              <w:pStyle w:val="ListParagraph"/>
              <w:widowControl w:val="0"/>
              <w:pBdr>
                <w:top w:val="nil"/>
                <w:left w:val="nil"/>
                <w:bottom w:val="nil"/>
                <w:right w:val="nil"/>
                <w:between w:val="nil"/>
              </w:pBdr>
              <w:ind w:left="0"/>
              <w:jc w:val="both"/>
              <w:rPr>
                <w:rFonts w:eastAsia="Arial Unicode MS"/>
                <w:color w:val="000000"/>
                <w:u w:color="000000"/>
                <w:lang w:eastAsia="en-US"/>
              </w:rPr>
            </w:pPr>
            <w:r w:rsidRPr="00B64650">
              <w:rPr>
                <w:rFonts w:eastAsia="Arial Unicode MS"/>
                <w:color w:val="000000"/>
                <w:u w:color="000000"/>
                <w:lang w:eastAsia="en-US"/>
              </w:rPr>
              <w:t>При финансиране на дейностите по проекта ще се спазват приложимите правила на:</w:t>
            </w:r>
          </w:p>
          <w:p w14:paraId="00DBE0C3" w14:textId="77777777" w:rsidR="00A22282" w:rsidRPr="00B64650" w:rsidRDefault="00A22282" w:rsidP="00A22282">
            <w:pPr>
              <w:pStyle w:val="ListParagraph"/>
              <w:widowControl w:val="0"/>
              <w:numPr>
                <w:ilvl w:val="0"/>
                <w:numId w:val="14"/>
              </w:numPr>
              <w:pBdr>
                <w:top w:val="nil"/>
                <w:left w:val="nil"/>
                <w:bottom w:val="nil"/>
                <w:right w:val="nil"/>
                <w:between w:val="nil"/>
              </w:pBdr>
              <w:jc w:val="both"/>
              <w:rPr>
                <w:rFonts w:eastAsia="Arial Unicode MS"/>
                <w:color w:val="000000"/>
                <w:u w:color="000000"/>
                <w:lang w:eastAsia="en-US"/>
              </w:rPr>
            </w:pPr>
            <w:r w:rsidRPr="00B64650">
              <w:rPr>
                <w:rFonts w:eastAsia="Arial Unicode MS"/>
                <w:color w:val="000000"/>
                <w:u w:color="000000"/>
                <w:lang w:eastAsia="en-US"/>
              </w:rPr>
              <w:t>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 публикуван в Официален вестник на ЕС L 352 от 24.12.2013 г. и Регламент (ЕС) 2020/972 на Комисията от 2 юли 2020 година за изменение на Регламент (ЕС) № 1407/2013 по отношение на удължаването на срока на неговото действие и за изменение на Регламент (ЕС) № 651/2014 по отношение на удължаването на срока на неговото действие и съответни промени, както и релевантното ново законодателство след изтичане на действието им;</w:t>
            </w:r>
          </w:p>
          <w:p w14:paraId="0E4A38C3" w14:textId="77777777" w:rsidR="00A22282" w:rsidRPr="00F24614" w:rsidRDefault="00A22282" w:rsidP="00A22282">
            <w:pPr>
              <w:pStyle w:val="ListParagraph"/>
              <w:widowControl w:val="0"/>
              <w:numPr>
                <w:ilvl w:val="0"/>
                <w:numId w:val="14"/>
              </w:numPr>
              <w:pBdr>
                <w:top w:val="nil"/>
                <w:left w:val="nil"/>
                <w:bottom w:val="nil"/>
                <w:right w:val="nil"/>
                <w:between w:val="nil"/>
              </w:pBdr>
              <w:jc w:val="both"/>
              <w:rPr>
                <w:rFonts w:eastAsia="Arial Unicode MS"/>
                <w:color w:val="000000"/>
                <w:u w:color="000000"/>
                <w:lang w:eastAsia="en-US"/>
              </w:rPr>
            </w:pPr>
            <w:r w:rsidRPr="00B64650">
              <w:rPr>
                <w:rFonts w:eastAsia="Arial Unicode MS"/>
                <w:color w:val="000000"/>
                <w:u w:color="000000"/>
                <w:lang w:eastAsia="en-US"/>
              </w:rPr>
              <w:t xml:space="preserve">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 и Регламент (ЕС) 2020/972 на Комисията от 2 юли 2020 година за изменение на Регламент (ЕС) № 1407/2013 по отношение на </w:t>
            </w:r>
            <w:r w:rsidRPr="00F24614">
              <w:rPr>
                <w:rFonts w:eastAsia="Arial Unicode MS"/>
                <w:color w:val="000000"/>
                <w:u w:color="000000"/>
                <w:lang w:eastAsia="en-US"/>
              </w:rPr>
              <w:t>удължаването на срока на неговото действие и за изменение на Регламент (ЕС) № 651/2014 по отношение на удължаването на срока на неговото действие и съответни промени, както и релевантното ново законодателство след изтичане на действието им;</w:t>
            </w:r>
          </w:p>
          <w:p w14:paraId="507052DA" w14:textId="77777777" w:rsidR="00A22282" w:rsidRDefault="00A22282" w:rsidP="00A22282">
            <w:pPr>
              <w:pStyle w:val="ListParagraph"/>
              <w:widowControl w:val="0"/>
              <w:numPr>
                <w:ilvl w:val="0"/>
                <w:numId w:val="14"/>
              </w:numPr>
              <w:pBdr>
                <w:top w:val="nil"/>
                <w:left w:val="nil"/>
                <w:bottom w:val="nil"/>
                <w:right w:val="nil"/>
                <w:between w:val="nil"/>
              </w:pBdr>
              <w:jc w:val="both"/>
              <w:rPr>
                <w:rFonts w:eastAsia="Arial Unicode MS"/>
                <w:color w:val="000000"/>
                <w:u w:color="000000"/>
                <w:lang w:eastAsia="en-US"/>
              </w:rPr>
            </w:pPr>
            <w:r w:rsidRPr="00F24614">
              <w:rPr>
                <w:rFonts w:eastAsia="Arial Unicode MS"/>
                <w:color w:val="000000"/>
                <w:u w:color="000000"/>
                <w:lang w:eastAsia="en-US"/>
              </w:rPr>
              <w:t xml:space="preserve">За бенефициентите, които са бюджетни организации, при които изпълняваните в рамките на финансирането икономически дейности и упражняването на публична власт са „неделими по своя характер“, т.е. когато икономическата дейност е необходима за упражняването на публичната власт, дейностите като цяло няма да се считат за икономически по своя характер и съответно тяхното финансиране няма да представлява държавна помощ. </w:t>
            </w:r>
          </w:p>
          <w:p w14:paraId="00275B84" w14:textId="77777777" w:rsidR="00A22282" w:rsidRPr="00C14E73" w:rsidRDefault="00A22282" w:rsidP="00A22282">
            <w:pPr>
              <w:pStyle w:val="ListParagraph"/>
              <w:widowControl w:val="0"/>
              <w:numPr>
                <w:ilvl w:val="0"/>
                <w:numId w:val="14"/>
              </w:numPr>
              <w:pBdr>
                <w:top w:val="nil"/>
                <w:left w:val="nil"/>
                <w:bottom w:val="nil"/>
                <w:right w:val="nil"/>
                <w:between w:val="nil"/>
              </w:pBdr>
              <w:jc w:val="both"/>
              <w:rPr>
                <w:rFonts w:eastAsia="Arial Unicode MS"/>
                <w:color w:val="000000"/>
                <w:u w:color="000000"/>
                <w:lang w:eastAsia="en-US"/>
              </w:rPr>
            </w:pPr>
            <w:r w:rsidRPr="00F24614">
              <w:rPr>
                <w:color w:val="1D2228"/>
                <w:shd w:val="clear" w:color="auto" w:fill="FFFFFF"/>
              </w:rPr>
              <w:t>В случаите, в които финансирането ще се счита за "непомощ" и бенефициентът извършва икономически и неикономически дейности, е необходимо разделяне на сметките, за да се предотврати кръстосано субсидиране.</w:t>
            </w:r>
          </w:p>
          <w:p w14:paraId="754E6588" w14:textId="77777777" w:rsidR="00A22282" w:rsidRDefault="00A22282" w:rsidP="002E5BE4">
            <w:pPr>
              <w:pStyle w:val="ListParagraph"/>
              <w:widowControl w:val="0"/>
              <w:pBdr>
                <w:top w:val="nil"/>
                <w:left w:val="nil"/>
                <w:bottom w:val="nil"/>
                <w:right w:val="nil"/>
                <w:between w:val="nil"/>
              </w:pBdr>
              <w:ind w:left="0"/>
              <w:jc w:val="both"/>
              <w:rPr>
                <w:b/>
              </w:rPr>
            </w:pPr>
          </w:p>
          <w:p w14:paraId="2C9E5075" w14:textId="6EAC731E" w:rsidR="005A19A1" w:rsidRPr="00D82F98" w:rsidRDefault="005A19A1" w:rsidP="002E5BE4">
            <w:pPr>
              <w:pStyle w:val="ListParagraph"/>
              <w:widowControl w:val="0"/>
              <w:pBdr>
                <w:top w:val="nil"/>
                <w:left w:val="nil"/>
                <w:bottom w:val="nil"/>
                <w:right w:val="nil"/>
                <w:between w:val="nil"/>
              </w:pBdr>
              <w:ind w:left="0"/>
              <w:jc w:val="both"/>
              <w:rPr>
                <w:b/>
              </w:rPr>
            </w:pPr>
          </w:p>
        </w:tc>
      </w:tr>
      <w:tr w:rsidR="000F4B69" w:rsidRPr="009871AF" w14:paraId="4A41B392" w14:textId="77777777" w:rsidTr="00AF42A3">
        <w:tc>
          <w:tcPr>
            <w:tcW w:w="9314" w:type="dxa"/>
            <w:shd w:val="clear" w:color="auto" w:fill="auto"/>
            <w:tcMar>
              <w:top w:w="100" w:type="dxa"/>
              <w:left w:w="100" w:type="dxa"/>
              <w:bottom w:w="100" w:type="dxa"/>
              <w:right w:w="100" w:type="dxa"/>
            </w:tcMar>
          </w:tcPr>
          <w:p w14:paraId="0F3DA077" w14:textId="0CD943DD" w:rsidR="000F4B69" w:rsidRPr="00223742" w:rsidRDefault="00A25243" w:rsidP="004F3A87">
            <w:pPr>
              <w:pStyle w:val="ListParagraph"/>
              <w:widowControl w:val="0"/>
              <w:numPr>
                <w:ilvl w:val="0"/>
                <w:numId w:val="12"/>
              </w:numPr>
              <w:pBdr>
                <w:top w:val="nil"/>
                <w:left w:val="nil"/>
                <w:bottom w:val="nil"/>
                <w:right w:val="nil"/>
                <w:between w:val="nil"/>
              </w:pBdr>
              <w:jc w:val="both"/>
              <w:rPr>
                <w:b/>
              </w:rPr>
            </w:pPr>
            <w:r w:rsidRPr="005F101A">
              <w:rPr>
                <w:b/>
              </w:rPr>
              <w:lastRenderedPageBreak/>
              <w:t>Бенефициент</w:t>
            </w:r>
            <w:r>
              <w:rPr>
                <w:b/>
              </w:rPr>
              <w:t>.</w:t>
            </w:r>
          </w:p>
        </w:tc>
      </w:tr>
      <w:tr w:rsidR="000F4B69" w:rsidRPr="00223742" w14:paraId="75FED5F3" w14:textId="77777777" w:rsidTr="00AF42A3">
        <w:tc>
          <w:tcPr>
            <w:tcW w:w="9314" w:type="dxa"/>
            <w:shd w:val="clear" w:color="auto" w:fill="auto"/>
            <w:tcMar>
              <w:top w:w="100" w:type="dxa"/>
              <w:left w:w="100" w:type="dxa"/>
              <w:bottom w:w="100" w:type="dxa"/>
              <w:right w:w="100" w:type="dxa"/>
            </w:tcMar>
          </w:tcPr>
          <w:p w14:paraId="0A59B464" w14:textId="77777777" w:rsidR="00ED04D4" w:rsidRDefault="00ED04D4" w:rsidP="00FC36E7">
            <w:pPr>
              <w:pStyle w:val="Default"/>
              <w:spacing w:line="276" w:lineRule="auto"/>
              <w:rPr>
                <w:rFonts w:ascii="Arial" w:hAnsi="Arial"/>
                <w:color w:val="auto"/>
                <w:sz w:val="22"/>
              </w:rPr>
            </w:pPr>
          </w:p>
          <w:p w14:paraId="0A6370B6" w14:textId="27E4A9FA" w:rsidR="00465D5C" w:rsidRPr="00641380" w:rsidRDefault="00FC36E7" w:rsidP="00FC36E7">
            <w:pPr>
              <w:pStyle w:val="Default"/>
              <w:spacing w:line="276" w:lineRule="auto"/>
              <w:rPr>
                <w:rFonts w:ascii="Arial" w:hAnsi="Arial" w:cs="Arial"/>
                <w:color w:val="auto"/>
                <w:sz w:val="22"/>
                <w:szCs w:val="22"/>
              </w:rPr>
            </w:pPr>
            <w:r w:rsidRPr="00641380">
              <w:rPr>
                <w:rFonts w:ascii="Arial" w:hAnsi="Arial"/>
                <w:color w:val="auto"/>
                <w:sz w:val="22"/>
              </w:rPr>
              <w:t>Преки бене</w:t>
            </w:r>
            <w:r w:rsidR="00641380" w:rsidRPr="00641380">
              <w:rPr>
                <w:rFonts w:ascii="Arial" w:hAnsi="Arial"/>
                <w:color w:val="auto"/>
                <w:sz w:val="22"/>
              </w:rPr>
              <w:t>фициенти</w:t>
            </w:r>
            <w:r w:rsidRPr="00641380">
              <w:rPr>
                <w:rFonts w:ascii="Arial" w:hAnsi="Arial"/>
                <w:color w:val="auto"/>
                <w:sz w:val="22"/>
              </w:rPr>
              <w:t>:</w:t>
            </w:r>
          </w:p>
          <w:p w14:paraId="7D35C5A5" w14:textId="2DB67B4A" w:rsidR="00633B09" w:rsidRPr="00641380" w:rsidRDefault="008D2AD1" w:rsidP="004F3A87">
            <w:pPr>
              <w:pStyle w:val="Default"/>
              <w:numPr>
                <w:ilvl w:val="0"/>
                <w:numId w:val="6"/>
              </w:numPr>
              <w:spacing w:line="276" w:lineRule="auto"/>
              <w:rPr>
                <w:rFonts w:ascii="Arial" w:hAnsi="Arial" w:cs="Arial"/>
                <w:color w:val="auto"/>
                <w:sz w:val="22"/>
                <w:szCs w:val="22"/>
              </w:rPr>
            </w:pPr>
            <w:r>
              <w:rPr>
                <w:rFonts w:ascii="Arial" w:hAnsi="Arial"/>
                <w:color w:val="auto"/>
                <w:sz w:val="22"/>
              </w:rPr>
              <w:lastRenderedPageBreak/>
              <w:t>А</w:t>
            </w:r>
            <w:r w:rsidRPr="00641380">
              <w:rPr>
                <w:rFonts w:ascii="Arial" w:hAnsi="Arial"/>
                <w:color w:val="auto"/>
                <w:sz w:val="22"/>
              </w:rPr>
              <w:t>дминистрация</w:t>
            </w:r>
            <w:r>
              <w:rPr>
                <w:rFonts w:ascii="Arial" w:hAnsi="Arial"/>
                <w:color w:val="auto"/>
                <w:sz w:val="22"/>
              </w:rPr>
              <w:t>та</w:t>
            </w:r>
            <w:r w:rsidRPr="00641380">
              <w:rPr>
                <w:rFonts w:ascii="Arial" w:hAnsi="Arial"/>
                <w:color w:val="auto"/>
                <w:sz w:val="22"/>
              </w:rPr>
              <w:t xml:space="preserve"> в </w:t>
            </w:r>
            <w:r w:rsidR="004F7AA6">
              <w:rPr>
                <w:rFonts w:ascii="Arial" w:hAnsi="Arial"/>
                <w:color w:val="auto"/>
                <w:sz w:val="22"/>
              </w:rPr>
              <w:t xml:space="preserve">КТИ </w:t>
            </w:r>
            <w:r w:rsidR="009F06FE">
              <w:rPr>
                <w:rFonts w:ascii="Arial" w:hAnsi="Arial"/>
                <w:color w:val="auto"/>
                <w:sz w:val="22"/>
              </w:rPr>
              <w:t>на п</w:t>
            </w:r>
            <w:r w:rsidR="00C40B5B" w:rsidRPr="00641380">
              <w:rPr>
                <w:rFonts w:ascii="Arial" w:hAnsi="Arial"/>
                <w:color w:val="auto"/>
                <w:sz w:val="22"/>
              </w:rPr>
              <w:t>ублични</w:t>
            </w:r>
            <w:r w:rsidR="009F06FE">
              <w:rPr>
                <w:rFonts w:ascii="Arial" w:hAnsi="Arial"/>
                <w:color w:val="auto"/>
                <w:sz w:val="22"/>
              </w:rPr>
              <w:t>,</w:t>
            </w:r>
            <w:r w:rsidR="00C40B5B" w:rsidRPr="00641380">
              <w:rPr>
                <w:rFonts w:ascii="Arial" w:hAnsi="Arial"/>
                <w:color w:val="auto"/>
                <w:sz w:val="22"/>
              </w:rPr>
              <w:t xml:space="preserve"> общинс</w:t>
            </w:r>
            <w:r w:rsidR="009F06FE">
              <w:rPr>
                <w:rFonts w:ascii="Arial" w:hAnsi="Arial"/>
                <w:color w:val="auto"/>
                <w:sz w:val="22"/>
              </w:rPr>
              <w:t>ки и независими</w:t>
            </w:r>
            <w:r w:rsidR="00C40B5B" w:rsidRPr="00641380">
              <w:rPr>
                <w:rFonts w:ascii="Arial" w:hAnsi="Arial"/>
                <w:color w:val="auto"/>
                <w:sz w:val="22"/>
              </w:rPr>
              <w:t xml:space="preserve"> </w:t>
            </w:r>
            <w:r w:rsidR="00674ECC" w:rsidRPr="00641380">
              <w:rPr>
                <w:rFonts w:ascii="Arial" w:hAnsi="Arial"/>
                <w:color w:val="auto"/>
                <w:sz w:val="22"/>
              </w:rPr>
              <w:t>оператори</w:t>
            </w:r>
            <w:r w:rsidR="009F06FE">
              <w:rPr>
                <w:rFonts w:ascii="Arial" w:hAnsi="Arial"/>
                <w:color w:val="auto"/>
                <w:sz w:val="22"/>
              </w:rPr>
              <w:t>;</w:t>
            </w:r>
          </w:p>
          <w:p w14:paraId="40274F8E" w14:textId="4EADEA04" w:rsidR="00AC1F5F" w:rsidRPr="00641380" w:rsidRDefault="00C47566" w:rsidP="004F3A87">
            <w:pPr>
              <w:pStyle w:val="Default"/>
              <w:numPr>
                <w:ilvl w:val="0"/>
                <w:numId w:val="6"/>
              </w:numPr>
              <w:spacing w:line="276" w:lineRule="auto"/>
              <w:rPr>
                <w:rFonts w:ascii="Arial" w:hAnsi="Arial" w:cs="Arial"/>
                <w:color w:val="auto"/>
                <w:sz w:val="22"/>
                <w:szCs w:val="22"/>
              </w:rPr>
            </w:pPr>
            <w:r>
              <w:rPr>
                <w:rFonts w:ascii="Arial" w:hAnsi="Arial"/>
                <w:color w:val="auto"/>
                <w:sz w:val="22"/>
                <w:u w:color="FF0000"/>
              </w:rPr>
              <w:t>П</w:t>
            </w:r>
            <w:r w:rsidR="00FC36E7" w:rsidRPr="00641380">
              <w:rPr>
                <w:rFonts w:ascii="Arial" w:hAnsi="Arial"/>
                <w:color w:val="auto"/>
                <w:sz w:val="22"/>
              </w:rPr>
              <w:t>ублични</w:t>
            </w:r>
            <w:r w:rsidR="00172041">
              <w:rPr>
                <w:rFonts w:ascii="Arial" w:hAnsi="Arial"/>
                <w:color w:val="auto"/>
                <w:sz w:val="22"/>
              </w:rPr>
              <w:t xml:space="preserve">, общински и </w:t>
            </w:r>
            <w:r w:rsidR="00FC36E7" w:rsidRPr="00641380">
              <w:rPr>
                <w:rFonts w:ascii="Arial" w:hAnsi="Arial"/>
                <w:color w:val="auto"/>
                <w:sz w:val="22"/>
              </w:rPr>
              <w:t>частни културни оператори</w:t>
            </w:r>
            <w:r w:rsidR="00605A67">
              <w:rPr>
                <w:rFonts w:ascii="Arial" w:hAnsi="Arial"/>
                <w:color w:val="auto"/>
                <w:sz w:val="22"/>
              </w:rPr>
              <w:t>;</w:t>
            </w:r>
          </w:p>
          <w:p w14:paraId="2FC0B9BF" w14:textId="1579B5D2" w:rsidR="00AC1F5F" w:rsidRPr="00641380" w:rsidRDefault="00AC1F5F" w:rsidP="004F3A87">
            <w:pPr>
              <w:pStyle w:val="Default"/>
              <w:numPr>
                <w:ilvl w:val="0"/>
                <w:numId w:val="6"/>
              </w:numPr>
              <w:spacing w:line="276" w:lineRule="auto"/>
              <w:rPr>
                <w:rFonts w:ascii="Arial" w:hAnsi="Arial" w:cs="Arial"/>
                <w:color w:val="auto"/>
                <w:sz w:val="22"/>
                <w:szCs w:val="22"/>
              </w:rPr>
            </w:pPr>
            <w:r w:rsidRPr="00641380">
              <w:rPr>
                <w:rFonts w:ascii="Arial" w:hAnsi="Arial"/>
                <w:color w:val="auto"/>
                <w:sz w:val="22"/>
              </w:rPr>
              <w:t>КТИ от „основни културни“ подсектори</w:t>
            </w:r>
            <w:r w:rsidR="008000D3">
              <w:rPr>
                <w:rFonts w:ascii="Arial" w:hAnsi="Arial"/>
                <w:color w:val="auto"/>
                <w:sz w:val="22"/>
              </w:rPr>
              <w:t xml:space="preserve">: </w:t>
            </w:r>
            <w:r w:rsidRPr="00641380">
              <w:rPr>
                <w:rFonts w:ascii="Arial" w:hAnsi="Arial"/>
                <w:color w:val="auto"/>
                <w:sz w:val="22"/>
              </w:rPr>
              <w:t xml:space="preserve">архиви, </w:t>
            </w:r>
            <w:r w:rsidR="00261CEA">
              <w:rPr>
                <w:rFonts w:ascii="Arial" w:hAnsi="Arial"/>
                <w:color w:val="auto"/>
                <w:sz w:val="22"/>
              </w:rPr>
              <w:t xml:space="preserve">културно </w:t>
            </w:r>
            <w:r w:rsidRPr="00641380">
              <w:rPr>
                <w:rFonts w:ascii="Arial" w:hAnsi="Arial"/>
                <w:color w:val="auto"/>
                <w:sz w:val="22"/>
              </w:rPr>
              <w:t>наследство, музеи, театър</w:t>
            </w:r>
            <w:r w:rsidR="008000D3">
              <w:rPr>
                <w:rFonts w:ascii="Arial" w:hAnsi="Arial"/>
                <w:color w:val="auto"/>
                <w:sz w:val="22"/>
              </w:rPr>
              <w:t>,</w:t>
            </w:r>
          </w:p>
          <w:p w14:paraId="6E6889D7" w14:textId="70CBCEE6" w:rsidR="00DE5E5D" w:rsidRPr="00641380" w:rsidRDefault="00AC1F5F" w:rsidP="004F3A87">
            <w:pPr>
              <w:pStyle w:val="Default"/>
              <w:numPr>
                <w:ilvl w:val="0"/>
                <w:numId w:val="6"/>
              </w:numPr>
              <w:spacing w:line="276" w:lineRule="auto"/>
              <w:rPr>
                <w:rFonts w:ascii="Arial" w:hAnsi="Arial" w:cs="Arial"/>
                <w:color w:val="auto"/>
                <w:sz w:val="22"/>
                <w:szCs w:val="22"/>
              </w:rPr>
            </w:pPr>
            <w:r w:rsidRPr="00641380">
              <w:rPr>
                <w:rFonts w:ascii="Arial" w:hAnsi="Arial"/>
                <w:color w:val="auto"/>
                <w:sz w:val="22"/>
              </w:rPr>
              <w:t>КТИ от подсектори с отделни вериги за създаване на стойност</w:t>
            </w:r>
            <w:r w:rsidR="008000D3">
              <w:rPr>
                <w:rFonts w:ascii="Arial" w:hAnsi="Arial"/>
                <w:color w:val="auto"/>
                <w:sz w:val="22"/>
              </w:rPr>
              <w:t xml:space="preserve">: </w:t>
            </w:r>
            <w:r w:rsidRPr="00641380">
              <w:rPr>
                <w:rFonts w:ascii="Arial" w:hAnsi="Arial"/>
                <w:color w:val="auto"/>
                <w:sz w:val="22"/>
              </w:rPr>
              <w:t>видео и филми, музика, визуални изкуства, книги и преса, архитектура</w:t>
            </w:r>
            <w:r w:rsidR="00F847AB">
              <w:rPr>
                <w:rFonts w:ascii="Arial" w:hAnsi="Arial"/>
                <w:color w:val="auto"/>
                <w:sz w:val="22"/>
              </w:rPr>
              <w:t>;</w:t>
            </w:r>
          </w:p>
          <w:p w14:paraId="7ADC9E21" w14:textId="159A0D75" w:rsidR="00F1410C" w:rsidRPr="00671123" w:rsidRDefault="00D178A0" w:rsidP="004F3A87">
            <w:pPr>
              <w:pStyle w:val="Default"/>
              <w:numPr>
                <w:ilvl w:val="0"/>
                <w:numId w:val="6"/>
              </w:numPr>
              <w:spacing w:line="276" w:lineRule="auto"/>
              <w:rPr>
                <w:rFonts w:ascii="Arial" w:hAnsi="Arial" w:cs="Arial"/>
                <w:color w:val="auto"/>
                <w:sz w:val="22"/>
                <w:szCs w:val="22"/>
              </w:rPr>
            </w:pPr>
            <w:r w:rsidRPr="00607B69">
              <w:rPr>
                <w:rFonts w:ascii="Arial" w:eastAsia="Calibri" w:hAnsi="Arial" w:cs="Arial"/>
                <w:sz w:val="22"/>
                <w:szCs w:val="22"/>
              </w:rPr>
              <w:t>независим</w:t>
            </w:r>
            <w:r>
              <w:rPr>
                <w:rFonts w:ascii="Arial" w:eastAsia="Calibri" w:hAnsi="Arial" w:cs="Arial"/>
                <w:sz w:val="22"/>
                <w:szCs w:val="22"/>
              </w:rPr>
              <w:t>и</w:t>
            </w:r>
            <w:r w:rsidRPr="00607B69">
              <w:rPr>
                <w:rFonts w:ascii="Arial" w:eastAsia="Calibri" w:hAnsi="Arial" w:cs="Arial"/>
                <w:sz w:val="22"/>
                <w:szCs w:val="22"/>
              </w:rPr>
              <w:t xml:space="preserve"> артист</w:t>
            </w:r>
            <w:r>
              <w:rPr>
                <w:rFonts w:ascii="Arial" w:eastAsia="Calibri" w:hAnsi="Arial" w:cs="Arial"/>
                <w:sz w:val="22"/>
                <w:szCs w:val="22"/>
              </w:rPr>
              <w:t>и,</w:t>
            </w:r>
            <w:r w:rsidRPr="00641380">
              <w:rPr>
                <w:rFonts w:ascii="Arial" w:hAnsi="Arial"/>
                <w:color w:val="auto"/>
                <w:sz w:val="22"/>
              </w:rPr>
              <w:t xml:space="preserve"> </w:t>
            </w:r>
            <w:r w:rsidR="00F1410C" w:rsidRPr="00641380">
              <w:rPr>
                <w:rFonts w:ascii="Arial" w:hAnsi="Arial"/>
                <w:color w:val="auto"/>
                <w:sz w:val="22"/>
              </w:rPr>
              <w:t>частни субекти, търговски или нетърговски, и неправителствени организации, установени като юридически лица в България и ЕС, чиято основна дейност е в областта на културния и творческия сектор.</w:t>
            </w:r>
          </w:p>
          <w:p w14:paraId="52031127" w14:textId="77777777" w:rsidR="00671123" w:rsidRPr="00641380" w:rsidRDefault="00671123" w:rsidP="00671123">
            <w:pPr>
              <w:pStyle w:val="Default"/>
              <w:spacing w:line="276" w:lineRule="auto"/>
              <w:ind w:left="720"/>
              <w:rPr>
                <w:rFonts w:ascii="Arial" w:hAnsi="Arial" w:cs="Arial"/>
                <w:color w:val="auto"/>
                <w:sz w:val="22"/>
                <w:szCs w:val="22"/>
              </w:rPr>
            </w:pPr>
          </w:p>
          <w:p w14:paraId="4760E88B" w14:textId="354F1189" w:rsidR="00465D5C" w:rsidRDefault="00A739AF" w:rsidP="00C471BB">
            <w:pPr>
              <w:pStyle w:val="Default"/>
              <w:spacing w:line="276" w:lineRule="auto"/>
              <w:rPr>
                <w:rFonts w:ascii="Arial" w:hAnsi="Arial" w:cs="Arial"/>
                <w:color w:val="auto"/>
                <w:sz w:val="22"/>
                <w:szCs w:val="22"/>
              </w:rPr>
            </w:pPr>
            <w:r>
              <w:rPr>
                <w:rFonts w:ascii="Arial" w:hAnsi="Arial"/>
                <w:color w:val="auto"/>
                <w:sz w:val="22"/>
              </w:rPr>
              <w:t>Непреки</w:t>
            </w:r>
            <w:r w:rsidR="00F1410C">
              <w:rPr>
                <w:rFonts w:ascii="Arial" w:hAnsi="Arial"/>
                <w:color w:val="auto"/>
                <w:sz w:val="22"/>
              </w:rPr>
              <w:t xml:space="preserve"> </w:t>
            </w:r>
            <w:r w:rsidRPr="00641380">
              <w:rPr>
                <w:rFonts w:ascii="Arial" w:hAnsi="Arial"/>
                <w:color w:val="auto"/>
                <w:sz w:val="22"/>
              </w:rPr>
              <w:t>бенефициенти:</w:t>
            </w:r>
          </w:p>
          <w:p w14:paraId="1C424BFF" w14:textId="5DDC01A2" w:rsidR="00DE5E5D" w:rsidRDefault="00FC36E7" w:rsidP="004F3A87">
            <w:pPr>
              <w:pStyle w:val="Default"/>
              <w:numPr>
                <w:ilvl w:val="0"/>
                <w:numId w:val="7"/>
              </w:numPr>
              <w:spacing w:line="276" w:lineRule="auto"/>
              <w:rPr>
                <w:rFonts w:ascii="Arial" w:eastAsia="Times New Roman" w:hAnsi="Arial" w:cs="Arial"/>
                <w:color w:val="auto"/>
                <w:sz w:val="22"/>
                <w:szCs w:val="22"/>
              </w:rPr>
            </w:pPr>
            <w:r>
              <w:rPr>
                <w:rFonts w:ascii="Arial" w:hAnsi="Arial"/>
                <w:color w:val="auto"/>
                <w:sz w:val="22"/>
              </w:rPr>
              <w:t>КТИ от „индустриално“ измерение</w:t>
            </w:r>
            <w:r w:rsidR="002A6D03">
              <w:rPr>
                <w:rFonts w:ascii="Arial" w:hAnsi="Arial"/>
                <w:color w:val="auto"/>
                <w:sz w:val="22"/>
              </w:rPr>
              <w:t xml:space="preserve">: </w:t>
            </w:r>
            <w:r>
              <w:rPr>
                <w:rFonts w:ascii="Arial" w:hAnsi="Arial"/>
                <w:color w:val="auto"/>
                <w:sz w:val="22"/>
              </w:rPr>
              <w:t>дизайн, мода, реклама</w:t>
            </w:r>
            <w:r w:rsidR="00745E64">
              <w:rPr>
                <w:rFonts w:ascii="Arial" w:hAnsi="Arial"/>
                <w:color w:val="auto"/>
                <w:sz w:val="22"/>
              </w:rPr>
              <w:t>,</w:t>
            </w:r>
          </w:p>
          <w:p w14:paraId="43878CB9" w14:textId="3230C21C" w:rsidR="008B34E4" w:rsidRPr="00F84318" w:rsidRDefault="00DE5E5D" w:rsidP="004F3A87">
            <w:pPr>
              <w:pStyle w:val="Default"/>
              <w:numPr>
                <w:ilvl w:val="0"/>
                <w:numId w:val="7"/>
              </w:numPr>
              <w:spacing w:line="276" w:lineRule="auto"/>
              <w:rPr>
                <w:rFonts w:ascii="Arial" w:eastAsia="Times New Roman" w:hAnsi="Arial" w:cs="Arial"/>
                <w:color w:val="auto"/>
                <w:sz w:val="22"/>
                <w:szCs w:val="22"/>
              </w:rPr>
            </w:pPr>
            <w:r>
              <w:rPr>
                <w:rFonts w:ascii="Arial" w:hAnsi="Arial"/>
                <w:color w:val="auto"/>
                <w:sz w:val="22"/>
              </w:rPr>
              <w:t>КТИ от индустрии, задвижвани от творчеството, като например индустрии в областта на стоките и услугите от висок клас;</w:t>
            </w:r>
          </w:p>
          <w:p w14:paraId="13938916" w14:textId="2CA6B6D0" w:rsidR="00F84318" w:rsidRDefault="00F84318" w:rsidP="004F3A87">
            <w:pPr>
              <w:pStyle w:val="Default"/>
              <w:numPr>
                <w:ilvl w:val="0"/>
                <w:numId w:val="7"/>
              </w:numPr>
              <w:spacing w:line="276" w:lineRule="auto"/>
              <w:rPr>
                <w:rFonts w:ascii="Arial" w:eastAsia="Times New Roman" w:hAnsi="Arial" w:cs="Arial"/>
                <w:color w:val="auto"/>
                <w:sz w:val="22"/>
                <w:szCs w:val="22"/>
              </w:rPr>
            </w:pPr>
            <w:r>
              <w:rPr>
                <w:rFonts w:ascii="Arial" w:hAnsi="Arial"/>
                <w:color w:val="auto"/>
                <w:sz w:val="22"/>
              </w:rPr>
              <w:t xml:space="preserve">Академични и </w:t>
            </w:r>
            <w:r w:rsidR="007C17CD">
              <w:rPr>
                <w:rFonts w:ascii="Arial" w:hAnsi="Arial"/>
                <w:color w:val="auto"/>
                <w:sz w:val="22"/>
              </w:rPr>
              <w:t xml:space="preserve">научноизследователски </w:t>
            </w:r>
            <w:r w:rsidR="00334AD0">
              <w:rPr>
                <w:rFonts w:ascii="Arial" w:hAnsi="Arial"/>
                <w:color w:val="auto"/>
                <w:sz w:val="22"/>
              </w:rPr>
              <w:t>структури</w:t>
            </w:r>
            <w:r w:rsidR="003133C6">
              <w:rPr>
                <w:rFonts w:ascii="Arial" w:hAnsi="Arial"/>
                <w:color w:val="auto"/>
                <w:sz w:val="22"/>
              </w:rPr>
              <w:t>;</w:t>
            </w:r>
          </w:p>
          <w:p w14:paraId="040DFE62" w14:textId="77777777" w:rsidR="000F4B69" w:rsidRPr="00ED04D4" w:rsidRDefault="004E1623" w:rsidP="004F3A87">
            <w:pPr>
              <w:pStyle w:val="Default"/>
              <w:numPr>
                <w:ilvl w:val="0"/>
                <w:numId w:val="7"/>
              </w:numPr>
              <w:spacing w:line="276" w:lineRule="auto"/>
              <w:rPr>
                <w:rFonts w:ascii="Arial" w:hAnsi="Arial" w:cs="Arial"/>
                <w:color w:val="auto"/>
                <w:sz w:val="22"/>
                <w:szCs w:val="22"/>
              </w:rPr>
            </w:pPr>
            <w:r>
              <w:rPr>
                <w:rFonts w:ascii="Arial" w:hAnsi="Arial"/>
                <w:color w:val="auto"/>
                <w:sz w:val="22"/>
              </w:rPr>
              <w:t>МСП и оператори в сектора на образованието, научните изследвания, туризма и информационните технологии.</w:t>
            </w:r>
          </w:p>
          <w:p w14:paraId="5509DA0C" w14:textId="74BFFB06" w:rsidR="00ED04D4" w:rsidRPr="005579B8" w:rsidRDefault="00ED04D4" w:rsidP="00ED04D4">
            <w:pPr>
              <w:pStyle w:val="Default"/>
              <w:spacing w:line="276" w:lineRule="auto"/>
              <w:ind w:left="720"/>
              <w:rPr>
                <w:rFonts w:ascii="Arial" w:hAnsi="Arial" w:cs="Arial"/>
                <w:color w:val="auto"/>
                <w:sz w:val="22"/>
                <w:szCs w:val="22"/>
              </w:rPr>
            </w:pPr>
          </w:p>
        </w:tc>
      </w:tr>
      <w:tr w:rsidR="00FE7C56" w:rsidRPr="00223742" w14:paraId="01568B33" w14:textId="77777777" w:rsidTr="00AF42A3">
        <w:tc>
          <w:tcPr>
            <w:tcW w:w="9314" w:type="dxa"/>
            <w:shd w:val="clear" w:color="auto" w:fill="auto"/>
            <w:tcMar>
              <w:top w:w="100" w:type="dxa"/>
              <w:left w:w="100" w:type="dxa"/>
              <w:bottom w:w="100" w:type="dxa"/>
              <w:right w:w="100" w:type="dxa"/>
            </w:tcMar>
          </w:tcPr>
          <w:p w14:paraId="4C62B214" w14:textId="77777777" w:rsidR="00FE7C56" w:rsidRPr="00223742" w:rsidRDefault="000233E8" w:rsidP="004F3A87">
            <w:pPr>
              <w:pStyle w:val="ListParagraph"/>
              <w:widowControl w:val="0"/>
              <w:numPr>
                <w:ilvl w:val="0"/>
                <w:numId w:val="12"/>
              </w:numPr>
              <w:pBdr>
                <w:top w:val="nil"/>
                <w:left w:val="nil"/>
                <w:bottom w:val="nil"/>
                <w:right w:val="nil"/>
                <w:between w:val="nil"/>
              </w:pBdr>
              <w:jc w:val="both"/>
              <w:rPr>
                <w:b/>
              </w:rPr>
            </w:pPr>
            <w:r>
              <w:rPr>
                <w:b/>
              </w:rPr>
              <w:lastRenderedPageBreak/>
              <w:t>График за изпълнение на проекта, включително дейности, етапи</w:t>
            </w:r>
            <w:r w:rsidRPr="00223742">
              <w:rPr>
                <w:b/>
                <w:vertAlign w:val="superscript"/>
                <w:lang w:val="en-US"/>
              </w:rPr>
              <w:footnoteReference w:id="2"/>
            </w:r>
          </w:p>
        </w:tc>
      </w:tr>
      <w:tr w:rsidR="004B3D70" w:rsidRPr="005E3383" w14:paraId="0F86B6FE" w14:textId="77777777" w:rsidTr="008F5858">
        <w:trPr>
          <w:trHeight w:val="4593"/>
        </w:trPr>
        <w:tc>
          <w:tcPr>
            <w:tcW w:w="9314" w:type="dxa"/>
            <w:shd w:val="clear" w:color="auto" w:fill="auto"/>
            <w:tcMar>
              <w:top w:w="100" w:type="dxa"/>
              <w:left w:w="100" w:type="dxa"/>
              <w:bottom w:w="100" w:type="dxa"/>
              <w:right w:w="100" w:type="dxa"/>
            </w:tcMar>
          </w:tcPr>
          <w:p w14:paraId="47E95FC3" w14:textId="5F0B8AE3" w:rsidR="00AF42A3" w:rsidRDefault="00AF42A3" w:rsidP="00B45F62">
            <w:pPr>
              <w:widowControl w:val="0"/>
              <w:jc w:val="both"/>
              <w:rPr>
                <w:sz w:val="10"/>
                <w:szCs w:val="10"/>
              </w:rPr>
            </w:pPr>
          </w:p>
          <w:p w14:paraId="58DC1881" w14:textId="77777777" w:rsidR="00AF42A3" w:rsidRPr="002863BA" w:rsidRDefault="00AF42A3" w:rsidP="00B45F62">
            <w:pPr>
              <w:widowControl w:val="0"/>
              <w:jc w:val="both"/>
              <w:rPr>
                <w:sz w:val="10"/>
                <w:szCs w:val="10"/>
              </w:rPr>
            </w:pPr>
          </w:p>
          <w:tbl>
            <w:tblPr>
              <w:tblStyle w:val="TableGrid"/>
              <w:tblW w:w="8916" w:type="dxa"/>
              <w:tblInd w:w="166" w:type="dxa"/>
              <w:tblLayout w:type="fixed"/>
              <w:tblLook w:val="04A0" w:firstRow="1" w:lastRow="0" w:firstColumn="1" w:lastColumn="0" w:noHBand="0" w:noVBand="1"/>
            </w:tblPr>
            <w:tblGrid>
              <w:gridCol w:w="903"/>
              <w:gridCol w:w="384"/>
              <w:gridCol w:w="420"/>
              <w:gridCol w:w="401"/>
              <w:gridCol w:w="401"/>
              <w:gridCol w:w="401"/>
              <w:gridCol w:w="400"/>
              <w:gridCol w:w="400"/>
              <w:gridCol w:w="400"/>
              <w:gridCol w:w="401"/>
              <w:gridCol w:w="400"/>
              <w:gridCol w:w="400"/>
              <w:gridCol w:w="400"/>
              <w:gridCol w:w="401"/>
              <w:gridCol w:w="400"/>
              <w:gridCol w:w="400"/>
              <w:gridCol w:w="411"/>
              <w:gridCol w:w="400"/>
              <w:gridCol w:w="399"/>
              <w:gridCol w:w="394"/>
              <w:gridCol w:w="400"/>
            </w:tblGrid>
            <w:tr w:rsidR="00AE0CC7" w:rsidRPr="00241348" w14:paraId="0B55F175" w14:textId="77777777" w:rsidTr="002255EC">
              <w:trPr>
                <w:tblHeader/>
              </w:trPr>
              <w:tc>
                <w:tcPr>
                  <w:tcW w:w="903" w:type="dxa"/>
                  <w:vMerge w:val="restart"/>
                  <w:shd w:val="clear" w:color="auto" w:fill="FDE9D9" w:themeFill="accent6" w:themeFillTint="33"/>
                </w:tcPr>
                <w:p w14:paraId="68405B81" w14:textId="77777777" w:rsidR="00AE0CC7" w:rsidRPr="00576DA0" w:rsidRDefault="00AE0CC7" w:rsidP="00AE0CC7">
                  <w:pPr>
                    <w:jc w:val="both"/>
                    <w:rPr>
                      <w:rFonts w:ascii="Times New Roman" w:hAnsi="Times New Roman" w:cs="Times New Roman"/>
                      <w:sz w:val="15"/>
                      <w:szCs w:val="15"/>
                    </w:rPr>
                  </w:pPr>
                  <w:r w:rsidRPr="00576DA0">
                    <w:rPr>
                      <w:rFonts w:ascii="Times New Roman" w:hAnsi="Times New Roman" w:cs="Times New Roman"/>
                      <w:sz w:val="15"/>
                      <w:szCs w:val="15"/>
                    </w:rPr>
                    <w:t>Дейности</w:t>
                  </w:r>
                </w:p>
              </w:tc>
              <w:tc>
                <w:tcPr>
                  <w:tcW w:w="1606" w:type="dxa"/>
                  <w:gridSpan w:val="4"/>
                  <w:shd w:val="clear" w:color="auto" w:fill="FDE9D9" w:themeFill="accent6" w:themeFillTint="33"/>
                </w:tcPr>
                <w:p w14:paraId="080342CD" w14:textId="42C043E5" w:rsidR="00AE0CC7" w:rsidRPr="00012AD8" w:rsidRDefault="00AE0CC7" w:rsidP="00AE0CC7">
                  <w:pPr>
                    <w:jc w:val="center"/>
                    <w:rPr>
                      <w:rFonts w:ascii="Times New Roman" w:hAnsi="Times New Roman" w:cs="Times New Roman"/>
                      <w:sz w:val="15"/>
                      <w:szCs w:val="15"/>
                    </w:rPr>
                  </w:pPr>
                  <w:r w:rsidRPr="00012AD8">
                    <w:rPr>
                      <w:rFonts w:ascii="Times New Roman" w:hAnsi="Times New Roman" w:cs="Times New Roman"/>
                      <w:sz w:val="15"/>
                      <w:szCs w:val="15"/>
                    </w:rPr>
                    <w:t>202</w:t>
                  </w:r>
                  <w:r w:rsidR="00204B8B">
                    <w:rPr>
                      <w:rFonts w:ascii="Times New Roman" w:hAnsi="Times New Roman" w:cs="Times New Roman"/>
                      <w:sz w:val="15"/>
                      <w:szCs w:val="15"/>
                    </w:rPr>
                    <w:t>2</w:t>
                  </w:r>
                </w:p>
              </w:tc>
              <w:tc>
                <w:tcPr>
                  <w:tcW w:w="1601" w:type="dxa"/>
                  <w:gridSpan w:val="4"/>
                  <w:shd w:val="clear" w:color="auto" w:fill="FDE9D9" w:themeFill="accent6" w:themeFillTint="33"/>
                </w:tcPr>
                <w:p w14:paraId="00266B46" w14:textId="1A2EA38D" w:rsidR="00AE0CC7" w:rsidRPr="00012AD8" w:rsidRDefault="00AE0CC7" w:rsidP="00AE0CC7">
                  <w:pPr>
                    <w:jc w:val="center"/>
                    <w:rPr>
                      <w:rFonts w:ascii="Times New Roman" w:hAnsi="Times New Roman" w:cs="Times New Roman"/>
                      <w:sz w:val="15"/>
                      <w:szCs w:val="15"/>
                    </w:rPr>
                  </w:pPr>
                  <w:r w:rsidRPr="00012AD8">
                    <w:rPr>
                      <w:rFonts w:ascii="Times New Roman" w:hAnsi="Times New Roman" w:cs="Times New Roman"/>
                      <w:sz w:val="15"/>
                      <w:szCs w:val="15"/>
                    </w:rPr>
                    <w:t>202</w:t>
                  </w:r>
                  <w:r w:rsidR="009A389A">
                    <w:rPr>
                      <w:rFonts w:ascii="Times New Roman" w:hAnsi="Times New Roman" w:cs="Times New Roman"/>
                      <w:sz w:val="15"/>
                      <w:szCs w:val="15"/>
                    </w:rPr>
                    <w:t>3</w:t>
                  </w:r>
                </w:p>
              </w:tc>
              <w:tc>
                <w:tcPr>
                  <w:tcW w:w="1601" w:type="dxa"/>
                  <w:gridSpan w:val="4"/>
                  <w:shd w:val="clear" w:color="auto" w:fill="FDE9D9" w:themeFill="accent6" w:themeFillTint="33"/>
                </w:tcPr>
                <w:p w14:paraId="5CEE03C4" w14:textId="1F96081E" w:rsidR="00AE0CC7" w:rsidRPr="00012AD8" w:rsidRDefault="00AE0CC7" w:rsidP="00AE0CC7">
                  <w:pPr>
                    <w:jc w:val="center"/>
                    <w:rPr>
                      <w:rFonts w:ascii="Times New Roman" w:hAnsi="Times New Roman" w:cs="Times New Roman"/>
                      <w:sz w:val="15"/>
                      <w:szCs w:val="15"/>
                    </w:rPr>
                  </w:pPr>
                  <w:r w:rsidRPr="00012AD8">
                    <w:rPr>
                      <w:rFonts w:ascii="Times New Roman" w:hAnsi="Times New Roman" w:cs="Times New Roman"/>
                      <w:sz w:val="15"/>
                      <w:szCs w:val="15"/>
                    </w:rPr>
                    <w:t>202</w:t>
                  </w:r>
                  <w:r w:rsidR="009A389A">
                    <w:rPr>
                      <w:rFonts w:ascii="Times New Roman" w:hAnsi="Times New Roman" w:cs="Times New Roman"/>
                      <w:sz w:val="15"/>
                      <w:szCs w:val="15"/>
                    </w:rPr>
                    <w:t>4</w:t>
                  </w:r>
                </w:p>
              </w:tc>
              <w:tc>
                <w:tcPr>
                  <w:tcW w:w="1612" w:type="dxa"/>
                  <w:gridSpan w:val="4"/>
                  <w:shd w:val="clear" w:color="auto" w:fill="FDE9D9" w:themeFill="accent6" w:themeFillTint="33"/>
                </w:tcPr>
                <w:p w14:paraId="32135DE8" w14:textId="3E868752" w:rsidR="00AE0CC7" w:rsidRPr="00012AD8" w:rsidRDefault="00AE0CC7" w:rsidP="00AE0CC7">
                  <w:pPr>
                    <w:jc w:val="center"/>
                    <w:rPr>
                      <w:rFonts w:ascii="Times New Roman" w:hAnsi="Times New Roman" w:cs="Times New Roman"/>
                      <w:sz w:val="15"/>
                      <w:szCs w:val="15"/>
                    </w:rPr>
                  </w:pPr>
                  <w:r w:rsidRPr="00012AD8">
                    <w:rPr>
                      <w:rFonts w:ascii="Times New Roman" w:hAnsi="Times New Roman" w:cs="Times New Roman"/>
                      <w:sz w:val="15"/>
                      <w:szCs w:val="15"/>
                    </w:rPr>
                    <w:t>202</w:t>
                  </w:r>
                  <w:r w:rsidR="009A389A">
                    <w:rPr>
                      <w:rFonts w:ascii="Times New Roman" w:hAnsi="Times New Roman" w:cs="Times New Roman"/>
                      <w:sz w:val="15"/>
                      <w:szCs w:val="15"/>
                    </w:rPr>
                    <w:t>5</w:t>
                  </w:r>
                </w:p>
              </w:tc>
              <w:tc>
                <w:tcPr>
                  <w:tcW w:w="1593" w:type="dxa"/>
                  <w:gridSpan w:val="4"/>
                  <w:shd w:val="clear" w:color="auto" w:fill="FDE9D9" w:themeFill="accent6" w:themeFillTint="33"/>
                </w:tcPr>
                <w:p w14:paraId="2C065E21" w14:textId="28B92004" w:rsidR="00AE0CC7" w:rsidRPr="00C11E03" w:rsidRDefault="00AE0CC7" w:rsidP="00AE0CC7">
                  <w:pPr>
                    <w:jc w:val="center"/>
                    <w:rPr>
                      <w:rFonts w:ascii="Times New Roman" w:hAnsi="Times New Roman" w:cs="Times New Roman"/>
                      <w:sz w:val="15"/>
                      <w:szCs w:val="15"/>
                    </w:rPr>
                  </w:pPr>
                  <w:r w:rsidRPr="00012AD8">
                    <w:rPr>
                      <w:rFonts w:ascii="Times New Roman" w:hAnsi="Times New Roman" w:cs="Times New Roman"/>
                      <w:sz w:val="15"/>
                      <w:szCs w:val="15"/>
                    </w:rPr>
                    <w:t>202</w:t>
                  </w:r>
                  <w:r w:rsidR="009A389A">
                    <w:rPr>
                      <w:rFonts w:ascii="Times New Roman" w:hAnsi="Times New Roman" w:cs="Times New Roman"/>
                      <w:sz w:val="15"/>
                      <w:szCs w:val="15"/>
                    </w:rPr>
                    <w:t>6</w:t>
                  </w:r>
                </w:p>
              </w:tc>
            </w:tr>
            <w:tr w:rsidR="00B63FFE" w:rsidRPr="00241348" w14:paraId="2A966373" w14:textId="77777777" w:rsidTr="00204B8B">
              <w:trPr>
                <w:tblHeader/>
              </w:trPr>
              <w:tc>
                <w:tcPr>
                  <w:tcW w:w="903" w:type="dxa"/>
                  <w:vMerge/>
                  <w:shd w:val="clear" w:color="auto" w:fill="FDE9D9" w:themeFill="accent6" w:themeFillTint="33"/>
                </w:tcPr>
                <w:p w14:paraId="7B1CC455" w14:textId="77777777" w:rsidR="00AE0CC7" w:rsidRPr="00241348" w:rsidRDefault="00AE0CC7" w:rsidP="00AE0CC7">
                  <w:pPr>
                    <w:jc w:val="both"/>
                    <w:rPr>
                      <w:rFonts w:ascii="Times New Roman" w:hAnsi="Times New Roman" w:cs="Times New Roman"/>
                      <w:sz w:val="16"/>
                      <w:szCs w:val="16"/>
                    </w:rPr>
                  </w:pPr>
                </w:p>
              </w:tc>
              <w:tc>
                <w:tcPr>
                  <w:tcW w:w="384" w:type="dxa"/>
                  <w:shd w:val="clear" w:color="auto" w:fill="FDE9D9" w:themeFill="accent6" w:themeFillTint="33"/>
                </w:tcPr>
                <w:p w14:paraId="19A4DEE0" w14:textId="77777777" w:rsidR="00AE0CC7" w:rsidRPr="00561692"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Q1</w:t>
                  </w:r>
                </w:p>
              </w:tc>
              <w:tc>
                <w:tcPr>
                  <w:tcW w:w="420" w:type="dxa"/>
                  <w:shd w:val="clear" w:color="auto" w:fill="FDE9D9" w:themeFill="accent6" w:themeFillTint="33"/>
                </w:tcPr>
                <w:p w14:paraId="650703BA" w14:textId="77777777" w:rsidR="00AE0CC7" w:rsidRPr="00561692"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Q2</w:t>
                  </w:r>
                </w:p>
              </w:tc>
              <w:tc>
                <w:tcPr>
                  <w:tcW w:w="401" w:type="dxa"/>
                  <w:shd w:val="clear" w:color="auto" w:fill="FDE9D9" w:themeFill="accent6" w:themeFillTint="33"/>
                </w:tcPr>
                <w:p w14:paraId="5926D3EE" w14:textId="77777777" w:rsidR="00AE0CC7" w:rsidRPr="00561692"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Q3</w:t>
                  </w:r>
                </w:p>
              </w:tc>
              <w:tc>
                <w:tcPr>
                  <w:tcW w:w="401" w:type="dxa"/>
                  <w:tcBorders>
                    <w:bottom w:val="single" w:sz="4" w:space="0" w:color="auto"/>
                  </w:tcBorders>
                  <w:shd w:val="clear" w:color="auto" w:fill="FDE9D9" w:themeFill="accent6" w:themeFillTint="33"/>
                </w:tcPr>
                <w:p w14:paraId="419D37BD" w14:textId="77777777" w:rsidR="00AE0CC7" w:rsidRPr="00561692"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Q4</w:t>
                  </w:r>
                </w:p>
              </w:tc>
              <w:tc>
                <w:tcPr>
                  <w:tcW w:w="401" w:type="dxa"/>
                  <w:tcBorders>
                    <w:bottom w:val="single" w:sz="4" w:space="0" w:color="auto"/>
                  </w:tcBorders>
                  <w:shd w:val="clear" w:color="auto" w:fill="FDE9D9" w:themeFill="accent6" w:themeFillTint="33"/>
                </w:tcPr>
                <w:p w14:paraId="4770252D" w14:textId="77777777" w:rsidR="00AE0CC7" w:rsidRPr="00241348"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Q1</w:t>
                  </w:r>
                </w:p>
              </w:tc>
              <w:tc>
                <w:tcPr>
                  <w:tcW w:w="400" w:type="dxa"/>
                  <w:shd w:val="clear" w:color="auto" w:fill="FDE9D9" w:themeFill="accent6" w:themeFillTint="33"/>
                </w:tcPr>
                <w:p w14:paraId="344F0F2F" w14:textId="77777777" w:rsidR="00AE0CC7" w:rsidRPr="00241348"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Q2</w:t>
                  </w:r>
                </w:p>
              </w:tc>
              <w:tc>
                <w:tcPr>
                  <w:tcW w:w="400" w:type="dxa"/>
                  <w:shd w:val="clear" w:color="auto" w:fill="FDE9D9" w:themeFill="accent6" w:themeFillTint="33"/>
                </w:tcPr>
                <w:p w14:paraId="58063DC3" w14:textId="77777777" w:rsidR="00AE0CC7" w:rsidRPr="00241348"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Q3</w:t>
                  </w:r>
                </w:p>
              </w:tc>
              <w:tc>
                <w:tcPr>
                  <w:tcW w:w="400" w:type="dxa"/>
                  <w:shd w:val="clear" w:color="auto" w:fill="FDE9D9" w:themeFill="accent6" w:themeFillTint="33"/>
                </w:tcPr>
                <w:p w14:paraId="027C4AD2" w14:textId="77777777" w:rsidR="00AE0CC7" w:rsidRPr="00241348"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Q4</w:t>
                  </w:r>
                </w:p>
              </w:tc>
              <w:tc>
                <w:tcPr>
                  <w:tcW w:w="401" w:type="dxa"/>
                  <w:shd w:val="clear" w:color="auto" w:fill="FDE9D9" w:themeFill="accent6" w:themeFillTint="33"/>
                </w:tcPr>
                <w:p w14:paraId="754EF9C2" w14:textId="77777777" w:rsidR="00AE0CC7" w:rsidRPr="00241348"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Q1</w:t>
                  </w:r>
                </w:p>
              </w:tc>
              <w:tc>
                <w:tcPr>
                  <w:tcW w:w="400" w:type="dxa"/>
                  <w:shd w:val="clear" w:color="auto" w:fill="FDE9D9" w:themeFill="accent6" w:themeFillTint="33"/>
                </w:tcPr>
                <w:p w14:paraId="71D06C68" w14:textId="77777777" w:rsidR="00AE0CC7" w:rsidRPr="00241348"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Q2</w:t>
                  </w:r>
                </w:p>
              </w:tc>
              <w:tc>
                <w:tcPr>
                  <w:tcW w:w="400" w:type="dxa"/>
                  <w:shd w:val="clear" w:color="auto" w:fill="FDE9D9" w:themeFill="accent6" w:themeFillTint="33"/>
                </w:tcPr>
                <w:p w14:paraId="63DBB5F5" w14:textId="77777777" w:rsidR="00AE0CC7"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Q3</w:t>
                  </w:r>
                </w:p>
              </w:tc>
              <w:tc>
                <w:tcPr>
                  <w:tcW w:w="400" w:type="dxa"/>
                  <w:shd w:val="clear" w:color="auto" w:fill="FDE9D9" w:themeFill="accent6" w:themeFillTint="33"/>
                </w:tcPr>
                <w:p w14:paraId="7EE072A8" w14:textId="77777777" w:rsidR="00AE0CC7" w:rsidRPr="00241348"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Q4</w:t>
                  </w:r>
                </w:p>
              </w:tc>
              <w:tc>
                <w:tcPr>
                  <w:tcW w:w="401" w:type="dxa"/>
                  <w:shd w:val="clear" w:color="auto" w:fill="FDE9D9" w:themeFill="accent6" w:themeFillTint="33"/>
                </w:tcPr>
                <w:p w14:paraId="039BA480" w14:textId="77777777" w:rsidR="00AE0CC7" w:rsidRPr="00241348"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Q1</w:t>
                  </w:r>
                </w:p>
              </w:tc>
              <w:tc>
                <w:tcPr>
                  <w:tcW w:w="400" w:type="dxa"/>
                  <w:shd w:val="clear" w:color="auto" w:fill="FDE9D9" w:themeFill="accent6" w:themeFillTint="33"/>
                </w:tcPr>
                <w:p w14:paraId="05027395" w14:textId="77777777" w:rsidR="00AE0CC7" w:rsidRPr="00241348"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Q2</w:t>
                  </w:r>
                </w:p>
              </w:tc>
              <w:tc>
                <w:tcPr>
                  <w:tcW w:w="400" w:type="dxa"/>
                  <w:shd w:val="clear" w:color="auto" w:fill="FDE9D9" w:themeFill="accent6" w:themeFillTint="33"/>
                </w:tcPr>
                <w:p w14:paraId="4A18CDA1" w14:textId="77777777" w:rsidR="00AE0CC7" w:rsidRPr="00241348"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Q3</w:t>
                  </w:r>
                </w:p>
              </w:tc>
              <w:tc>
                <w:tcPr>
                  <w:tcW w:w="411" w:type="dxa"/>
                  <w:shd w:val="clear" w:color="auto" w:fill="FDE9D9" w:themeFill="accent6" w:themeFillTint="33"/>
                </w:tcPr>
                <w:p w14:paraId="349583AA" w14:textId="77777777" w:rsidR="00AE0CC7" w:rsidRPr="00241348"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Q4</w:t>
                  </w:r>
                </w:p>
              </w:tc>
              <w:tc>
                <w:tcPr>
                  <w:tcW w:w="400" w:type="dxa"/>
                  <w:shd w:val="clear" w:color="auto" w:fill="FDE9D9" w:themeFill="accent6" w:themeFillTint="33"/>
                </w:tcPr>
                <w:p w14:paraId="66E8D2FE" w14:textId="77777777" w:rsidR="00AE0CC7" w:rsidRPr="00241348"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Q1</w:t>
                  </w:r>
                </w:p>
              </w:tc>
              <w:tc>
                <w:tcPr>
                  <w:tcW w:w="399" w:type="dxa"/>
                  <w:shd w:val="clear" w:color="auto" w:fill="FDE9D9" w:themeFill="accent6" w:themeFillTint="33"/>
                </w:tcPr>
                <w:p w14:paraId="0CF349FF" w14:textId="77777777" w:rsidR="00AE0CC7" w:rsidRPr="00241348"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Q2</w:t>
                  </w:r>
                </w:p>
              </w:tc>
              <w:tc>
                <w:tcPr>
                  <w:tcW w:w="394" w:type="dxa"/>
                  <w:shd w:val="clear" w:color="auto" w:fill="FDE9D9" w:themeFill="accent6" w:themeFillTint="33"/>
                </w:tcPr>
                <w:p w14:paraId="6C6A6871" w14:textId="77777777" w:rsidR="00AE0CC7" w:rsidRPr="00241348"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Q3</w:t>
                  </w:r>
                </w:p>
              </w:tc>
              <w:tc>
                <w:tcPr>
                  <w:tcW w:w="400" w:type="dxa"/>
                  <w:shd w:val="clear" w:color="auto" w:fill="FDE9D9" w:themeFill="accent6" w:themeFillTint="33"/>
                </w:tcPr>
                <w:p w14:paraId="4935A8B7" w14:textId="77777777" w:rsidR="00AE0CC7" w:rsidRPr="00241348" w:rsidRDefault="00AE0CC7" w:rsidP="00AE0CC7">
                  <w:pPr>
                    <w:rPr>
                      <w:rFonts w:ascii="Times New Roman" w:hAnsi="Times New Roman" w:cs="Times New Roman"/>
                      <w:sz w:val="13"/>
                      <w:szCs w:val="13"/>
                      <w:lang w:val="en-US"/>
                    </w:rPr>
                  </w:pPr>
                  <w:r>
                    <w:rPr>
                      <w:rFonts w:ascii="Times New Roman" w:hAnsi="Times New Roman" w:cs="Times New Roman"/>
                      <w:sz w:val="13"/>
                      <w:szCs w:val="13"/>
                      <w:lang w:val="en-US"/>
                    </w:rPr>
                    <w:t>Q4</w:t>
                  </w:r>
                </w:p>
              </w:tc>
            </w:tr>
            <w:tr w:rsidR="00036EF7" w:rsidRPr="00241348" w14:paraId="3F6718C2" w14:textId="77777777" w:rsidTr="00027744">
              <w:tc>
                <w:tcPr>
                  <w:tcW w:w="903" w:type="dxa"/>
                  <w:shd w:val="clear" w:color="auto" w:fill="FDE9D9" w:themeFill="accent6" w:themeFillTint="33"/>
                </w:tcPr>
                <w:p w14:paraId="66720CFD" w14:textId="77777777" w:rsidR="00036EF7" w:rsidRPr="00FA5E46" w:rsidRDefault="00036EF7" w:rsidP="00036EF7">
                  <w:pPr>
                    <w:jc w:val="both"/>
                    <w:rPr>
                      <w:rFonts w:ascii="Times New Roman" w:hAnsi="Times New Roman" w:cs="Times New Roman"/>
                      <w:sz w:val="16"/>
                      <w:szCs w:val="16"/>
                      <w:lang w:val="en-US"/>
                    </w:rPr>
                  </w:pPr>
                  <w:r w:rsidRPr="00BE7840">
                    <w:rPr>
                      <w:rFonts w:ascii="Times New Roman" w:hAnsi="Times New Roman" w:cs="Times New Roman"/>
                      <w:sz w:val="16"/>
                      <w:szCs w:val="16"/>
                      <w:lang w:val="en-US"/>
                    </w:rPr>
                    <w:t>1.1.</w:t>
                  </w:r>
                </w:p>
              </w:tc>
              <w:tc>
                <w:tcPr>
                  <w:tcW w:w="384" w:type="dxa"/>
                  <w:shd w:val="clear" w:color="auto" w:fill="D9D9D9" w:themeFill="background1" w:themeFillShade="D9"/>
                </w:tcPr>
                <w:p w14:paraId="40693A6D" w14:textId="77777777" w:rsidR="00036EF7" w:rsidRPr="00241348" w:rsidRDefault="00036EF7" w:rsidP="00027744">
                  <w:pPr>
                    <w:rPr>
                      <w:rFonts w:ascii="Times New Roman" w:hAnsi="Times New Roman" w:cs="Times New Roman"/>
                      <w:sz w:val="16"/>
                      <w:szCs w:val="16"/>
                      <w:lang w:val="en-US"/>
                    </w:rPr>
                  </w:pPr>
                </w:p>
              </w:tc>
              <w:tc>
                <w:tcPr>
                  <w:tcW w:w="420" w:type="dxa"/>
                  <w:shd w:val="clear" w:color="auto" w:fill="D9D9D9" w:themeFill="background1" w:themeFillShade="D9"/>
                </w:tcPr>
                <w:p w14:paraId="1FF32C62" w14:textId="77777777" w:rsidR="00036EF7" w:rsidRPr="002E3BEE" w:rsidRDefault="00036EF7" w:rsidP="00036EF7">
                  <w:pPr>
                    <w:jc w:val="center"/>
                    <w:rPr>
                      <w:rFonts w:ascii="Times New Roman" w:hAnsi="Times New Roman" w:cs="Times New Roman"/>
                      <w:sz w:val="16"/>
                      <w:szCs w:val="16"/>
                      <w:highlight w:val="lightGray"/>
                      <w:lang w:val="en-US"/>
                    </w:rPr>
                  </w:pPr>
                </w:p>
              </w:tc>
              <w:tc>
                <w:tcPr>
                  <w:tcW w:w="401" w:type="dxa"/>
                  <w:shd w:val="clear" w:color="auto" w:fill="D9D9D9" w:themeFill="background1" w:themeFillShade="D9"/>
                </w:tcPr>
                <w:p w14:paraId="4EFA7BB3" w14:textId="77777777" w:rsidR="00036EF7" w:rsidRPr="002E3BEE" w:rsidRDefault="00036EF7" w:rsidP="00036EF7">
                  <w:pPr>
                    <w:jc w:val="center"/>
                    <w:rPr>
                      <w:rFonts w:ascii="Times New Roman" w:hAnsi="Times New Roman" w:cs="Times New Roman"/>
                      <w:sz w:val="16"/>
                      <w:szCs w:val="16"/>
                      <w:highlight w:val="lightGray"/>
                      <w:lang w:val="en-US"/>
                    </w:rPr>
                  </w:pPr>
                </w:p>
              </w:tc>
              <w:tc>
                <w:tcPr>
                  <w:tcW w:w="401" w:type="dxa"/>
                  <w:shd w:val="clear" w:color="auto" w:fill="D9D9D9" w:themeFill="background1" w:themeFillShade="D9"/>
                </w:tcPr>
                <w:p w14:paraId="7A686288" w14:textId="77777777" w:rsidR="00036EF7" w:rsidRPr="002E3BEE" w:rsidRDefault="00036EF7" w:rsidP="00036EF7">
                  <w:pPr>
                    <w:jc w:val="center"/>
                    <w:rPr>
                      <w:rFonts w:ascii="Times New Roman" w:hAnsi="Times New Roman" w:cs="Times New Roman"/>
                      <w:sz w:val="16"/>
                      <w:szCs w:val="16"/>
                      <w:highlight w:val="lightGray"/>
                      <w:lang w:val="en-US"/>
                    </w:rPr>
                  </w:pPr>
                </w:p>
              </w:tc>
              <w:tc>
                <w:tcPr>
                  <w:tcW w:w="401" w:type="dxa"/>
                  <w:shd w:val="clear" w:color="auto" w:fill="D9D9D9" w:themeFill="background1" w:themeFillShade="D9"/>
                </w:tcPr>
                <w:p w14:paraId="1198F9D0" w14:textId="77777777" w:rsidR="00036EF7" w:rsidRPr="002E3BEE" w:rsidRDefault="00036EF7" w:rsidP="00036EF7">
                  <w:pPr>
                    <w:jc w:val="center"/>
                    <w:rPr>
                      <w:rFonts w:ascii="Times New Roman" w:hAnsi="Times New Roman" w:cs="Times New Roman"/>
                      <w:sz w:val="16"/>
                      <w:szCs w:val="16"/>
                      <w:highlight w:val="lightGray"/>
                      <w:lang w:val="en-US"/>
                    </w:rPr>
                  </w:pPr>
                </w:p>
              </w:tc>
              <w:tc>
                <w:tcPr>
                  <w:tcW w:w="400" w:type="dxa"/>
                  <w:shd w:val="clear" w:color="auto" w:fill="auto"/>
                </w:tcPr>
                <w:p w14:paraId="34B46486" w14:textId="77777777" w:rsidR="00036EF7" w:rsidRPr="00241348" w:rsidRDefault="00036EF7" w:rsidP="00027744">
                  <w:pPr>
                    <w:rPr>
                      <w:rFonts w:ascii="Times New Roman" w:hAnsi="Times New Roman" w:cs="Times New Roman"/>
                      <w:sz w:val="16"/>
                      <w:szCs w:val="16"/>
                      <w:lang w:val="en-US"/>
                    </w:rPr>
                  </w:pPr>
                </w:p>
              </w:tc>
              <w:tc>
                <w:tcPr>
                  <w:tcW w:w="400" w:type="dxa"/>
                  <w:shd w:val="clear" w:color="auto" w:fill="auto"/>
                </w:tcPr>
                <w:p w14:paraId="078138DB"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auto"/>
                </w:tcPr>
                <w:p w14:paraId="036EEAAD" w14:textId="77777777" w:rsidR="00036EF7" w:rsidRPr="00241348" w:rsidRDefault="00036EF7" w:rsidP="00036EF7">
                  <w:pPr>
                    <w:jc w:val="center"/>
                    <w:rPr>
                      <w:rFonts w:ascii="Times New Roman" w:hAnsi="Times New Roman" w:cs="Times New Roman"/>
                      <w:sz w:val="16"/>
                      <w:szCs w:val="16"/>
                      <w:lang w:val="en-US"/>
                    </w:rPr>
                  </w:pPr>
                </w:p>
              </w:tc>
              <w:tc>
                <w:tcPr>
                  <w:tcW w:w="401" w:type="dxa"/>
                </w:tcPr>
                <w:p w14:paraId="512D9C67"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5DD6060A"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76B299AD"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3CBE7F34" w14:textId="77777777" w:rsidR="00036EF7" w:rsidRPr="00241348" w:rsidRDefault="00036EF7" w:rsidP="00036EF7">
                  <w:pPr>
                    <w:jc w:val="center"/>
                    <w:rPr>
                      <w:rFonts w:ascii="Times New Roman" w:hAnsi="Times New Roman" w:cs="Times New Roman"/>
                      <w:sz w:val="16"/>
                      <w:szCs w:val="16"/>
                      <w:lang w:val="en-US"/>
                    </w:rPr>
                  </w:pPr>
                </w:p>
              </w:tc>
              <w:tc>
                <w:tcPr>
                  <w:tcW w:w="401" w:type="dxa"/>
                </w:tcPr>
                <w:p w14:paraId="7322C362"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17AE6A1C"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1929700B" w14:textId="77777777" w:rsidR="00036EF7" w:rsidRPr="00241348" w:rsidRDefault="00036EF7" w:rsidP="00036EF7">
                  <w:pPr>
                    <w:jc w:val="center"/>
                    <w:rPr>
                      <w:rFonts w:ascii="Times New Roman" w:hAnsi="Times New Roman" w:cs="Times New Roman"/>
                      <w:sz w:val="16"/>
                      <w:szCs w:val="16"/>
                      <w:lang w:val="en-US"/>
                    </w:rPr>
                  </w:pPr>
                </w:p>
              </w:tc>
              <w:tc>
                <w:tcPr>
                  <w:tcW w:w="411" w:type="dxa"/>
                </w:tcPr>
                <w:p w14:paraId="65BC0E7D"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7A84CFF6" w14:textId="77777777" w:rsidR="00036EF7" w:rsidRPr="00241348" w:rsidRDefault="00036EF7" w:rsidP="00036EF7">
                  <w:pPr>
                    <w:jc w:val="center"/>
                    <w:rPr>
                      <w:rFonts w:ascii="Times New Roman" w:hAnsi="Times New Roman" w:cs="Times New Roman"/>
                      <w:sz w:val="16"/>
                      <w:szCs w:val="16"/>
                      <w:lang w:val="en-US"/>
                    </w:rPr>
                  </w:pPr>
                </w:p>
              </w:tc>
              <w:tc>
                <w:tcPr>
                  <w:tcW w:w="399" w:type="dxa"/>
                </w:tcPr>
                <w:p w14:paraId="542B088D" w14:textId="77777777" w:rsidR="00036EF7" w:rsidRPr="00241348" w:rsidRDefault="00036EF7" w:rsidP="00036EF7">
                  <w:pPr>
                    <w:jc w:val="center"/>
                    <w:rPr>
                      <w:rFonts w:ascii="Times New Roman" w:hAnsi="Times New Roman" w:cs="Times New Roman"/>
                      <w:sz w:val="16"/>
                      <w:szCs w:val="16"/>
                      <w:lang w:val="en-US"/>
                    </w:rPr>
                  </w:pPr>
                </w:p>
              </w:tc>
              <w:tc>
                <w:tcPr>
                  <w:tcW w:w="394" w:type="dxa"/>
                </w:tcPr>
                <w:p w14:paraId="11F3F08D"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56601734" w14:textId="77777777" w:rsidR="00036EF7" w:rsidRPr="00241348" w:rsidRDefault="00036EF7" w:rsidP="00036EF7">
                  <w:pPr>
                    <w:jc w:val="center"/>
                    <w:rPr>
                      <w:rFonts w:ascii="Times New Roman" w:hAnsi="Times New Roman" w:cs="Times New Roman"/>
                      <w:sz w:val="16"/>
                      <w:szCs w:val="16"/>
                      <w:lang w:val="en-US"/>
                    </w:rPr>
                  </w:pPr>
                </w:p>
              </w:tc>
            </w:tr>
            <w:tr w:rsidR="00036EF7" w:rsidRPr="00241348" w14:paraId="0FF76B39" w14:textId="77777777" w:rsidTr="00027744">
              <w:tc>
                <w:tcPr>
                  <w:tcW w:w="903" w:type="dxa"/>
                  <w:shd w:val="clear" w:color="auto" w:fill="FDE9D9" w:themeFill="accent6" w:themeFillTint="33"/>
                </w:tcPr>
                <w:p w14:paraId="712D8F68" w14:textId="77777777" w:rsidR="00036EF7" w:rsidRPr="00241348" w:rsidRDefault="00036EF7" w:rsidP="00036EF7">
                  <w:pPr>
                    <w:jc w:val="both"/>
                    <w:rPr>
                      <w:rFonts w:ascii="Times New Roman" w:hAnsi="Times New Roman" w:cs="Times New Roman"/>
                      <w:sz w:val="16"/>
                      <w:szCs w:val="16"/>
                      <w:lang w:val="en-US"/>
                    </w:rPr>
                  </w:pPr>
                  <w:r w:rsidRPr="00D7372C">
                    <w:rPr>
                      <w:rFonts w:ascii="Times New Roman" w:hAnsi="Times New Roman" w:cs="Times New Roman"/>
                      <w:sz w:val="16"/>
                      <w:szCs w:val="16"/>
                      <w:lang w:val="en-US"/>
                    </w:rPr>
                    <w:t xml:space="preserve">1.2. </w:t>
                  </w:r>
                </w:p>
              </w:tc>
              <w:tc>
                <w:tcPr>
                  <w:tcW w:w="384" w:type="dxa"/>
                </w:tcPr>
                <w:p w14:paraId="7BE38D2D" w14:textId="77777777" w:rsidR="00036EF7" w:rsidRPr="00241348" w:rsidRDefault="00036EF7" w:rsidP="00036EF7">
                  <w:pPr>
                    <w:jc w:val="center"/>
                    <w:rPr>
                      <w:rFonts w:ascii="Times New Roman" w:hAnsi="Times New Roman" w:cs="Times New Roman"/>
                      <w:sz w:val="16"/>
                      <w:szCs w:val="16"/>
                      <w:lang w:val="en-US"/>
                    </w:rPr>
                  </w:pPr>
                </w:p>
              </w:tc>
              <w:tc>
                <w:tcPr>
                  <w:tcW w:w="420" w:type="dxa"/>
                </w:tcPr>
                <w:p w14:paraId="63ABF60D" w14:textId="77777777" w:rsidR="00036EF7" w:rsidRPr="00241348" w:rsidRDefault="00036EF7" w:rsidP="00036EF7">
                  <w:pPr>
                    <w:jc w:val="center"/>
                    <w:rPr>
                      <w:rFonts w:ascii="Times New Roman" w:hAnsi="Times New Roman" w:cs="Times New Roman"/>
                      <w:sz w:val="16"/>
                      <w:szCs w:val="16"/>
                      <w:lang w:val="en-US"/>
                    </w:rPr>
                  </w:pPr>
                </w:p>
              </w:tc>
              <w:tc>
                <w:tcPr>
                  <w:tcW w:w="401" w:type="dxa"/>
                </w:tcPr>
                <w:p w14:paraId="570B308E"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63529DA3"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73765F30"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1F2EA0A3"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auto"/>
                </w:tcPr>
                <w:p w14:paraId="5AD54BC7"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auto"/>
                </w:tcPr>
                <w:p w14:paraId="43C904D5" w14:textId="77777777" w:rsidR="00036EF7" w:rsidRPr="00241348" w:rsidRDefault="00036EF7" w:rsidP="00036EF7">
                  <w:pPr>
                    <w:jc w:val="center"/>
                    <w:rPr>
                      <w:rFonts w:ascii="Times New Roman" w:hAnsi="Times New Roman" w:cs="Times New Roman"/>
                      <w:sz w:val="16"/>
                      <w:szCs w:val="16"/>
                      <w:lang w:val="en-US"/>
                    </w:rPr>
                  </w:pPr>
                </w:p>
              </w:tc>
              <w:tc>
                <w:tcPr>
                  <w:tcW w:w="401" w:type="dxa"/>
                </w:tcPr>
                <w:p w14:paraId="11CB3CAB"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3CE32511"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7111D8CF"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54B78305" w14:textId="77777777" w:rsidR="00036EF7" w:rsidRPr="00241348" w:rsidRDefault="00036EF7" w:rsidP="00036EF7">
                  <w:pPr>
                    <w:jc w:val="center"/>
                    <w:rPr>
                      <w:rFonts w:ascii="Times New Roman" w:hAnsi="Times New Roman" w:cs="Times New Roman"/>
                      <w:sz w:val="16"/>
                      <w:szCs w:val="16"/>
                      <w:lang w:val="en-US"/>
                    </w:rPr>
                  </w:pPr>
                </w:p>
              </w:tc>
              <w:tc>
                <w:tcPr>
                  <w:tcW w:w="401" w:type="dxa"/>
                </w:tcPr>
                <w:p w14:paraId="1F2A408B"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32FAD34A"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5B887999" w14:textId="77777777" w:rsidR="00036EF7" w:rsidRPr="00241348" w:rsidRDefault="00036EF7" w:rsidP="00036EF7">
                  <w:pPr>
                    <w:jc w:val="center"/>
                    <w:rPr>
                      <w:rFonts w:ascii="Times New Roman" w:hAnsi="Times New Roman" w:cs="Times New Roman"/>
                      <w:sz w:val="16"/>
                      <w:szCs w:val="16"/>
                      <w:lang w:val="en-US"/>
                    </w:rPr>
                  </w:pPr>
                </w:p>
              </w:tc>
              <w:tc>
                <w:tcPr>
                  <w:tcW w:w="411" w:type="dxa"/>
                </w:tcPr>
                <w:p w14:paraId="1DADD9DF"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318BFA15" w14:textId="77777777" w:rsidR="00036EF7" w:rsidRPr="00241348" w:rsidRDefault="00036EF7" w:rsidP="00036EF7">
                  <w:pPr>
                    <w:jc w:val="center"/>
                    <w:rPr>
                      <w:rFonts w:ascii="Times New Roman" w:hAnsi="Times New Roman" w:cs="Times New Roman"/>
                      <w:sz w:val="16"/>
                      <w:szCs w:val="16"/>
                      <w:lang w:val="en-US"/>
                    </w:rPr>
                  </w:pPr>
                </w:p>
              </w:tc>
              <w:tc>
                <w:tcPr>
                  <w:tcW w:w="399" w:type="dxa"/>
                </w:tcPr>
                <w:p w14:paraId="6205C8B3" w14:textId="77777777" w:rsidR="00036EF7" w:rsidRPr="00241348" w:rsidRDefault="00036EF7" w:rsidP="00036EF7">
                  <w:pPr>
                    <w:jc w:val="center"/>
                    <w:rPr>
                      <w:rFonts w:ascii="Times New Roman" w:hAnsi="Times New Roman" w:cs="Times New Roman"/>
                      <w:sz w:val="16"/>
                      <w:szCs w:val="16"/>
                      <w:lang w:val="en-US"/>
                    </w:rPr>
                  </w:pPr>
                </w:p>
              </w:tc>
              <w:tc>
                <w:tcPr>
                  <w:tcW w:w="394" w:type="dxa"/>
                </w:tcPr>
                <w:p w14:paraId="12F16966"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526536E2" w14:textId="77777777" w:rsidR="00036EF7" w:rsidRPr="00241348" w:rsidRDefault="00036EF7" w:rsidP="00036EF7">
                  <w:pPr>
                    <w:jc w:val="center"/>
                    <w:rPr>
                      <w:rFonts w:ascii="Times New Roman" w:hAnsi="Times New Roman" w:cs="Times New Roman"/>
                      <w:sz w:val="16"/>
                      <w:szCs w:val="16"/>
                      <w:lang w:val="en-US"/>
                    </w:rPr>
                  </w:pPr>
                </w:p>
              </w:tc>
            </w:tr>
            <w:tr w:rsidR="00036EF7" w:rsidRPr="00241348" w14:paraId="1EC95B6E" w14:textId="77777777" w:rsidTr="00027744">
              <w:tc>
                <w:tcPr>
                  <w:tcW w:w="903" w:type="dxa"/>
                  <w:shd w:val="clear" w:color="auto" w:fill="FDE9D9" w:themeFill="accent6" w:themeFillTint="33"/>
                </w:tcPr>
                <w:p w14:paraId="21D92B7F" w14:textId="77777777" w:rsidR="00036EF7" w:rsidRPr="005569DE" w:rsidRDefault="00036EF7" w:rsidP="00036EF7">
                  <w:pPr>
                    <w:jc w:val="both"/>
                    <w:rPr>
                      <w:rFonts w:ascii="Times New Roman" w:hAnsi="Times New Roman" w:cs="Times New Roman"/>
                      <w:sz w:val="16"/>
                      <w:szCs w:val="16"/>
                      <w:highlight w:val="lightGray"/>
                      <w:lang w:val="en-US"/>
                    </w:rPr>
                  </w:pPr>
                  <w:r w:rsidRPr="0005615D">
                    <w:rPr>
                      <w:rFonts w:ascii="Times New Roman" w:hAnsi="Times New Roman" w:cs="Times New Roman"/>
                      <w:sz w:val="16"/>
                      <w:szCs w:val="16"/>
                      <w:lang w:val="en-US"/>
                    </w:rPr>
                    <w:t xml:space="preserve">1.3. </w:t>
                  </w:r>
                </w:p>
              </w:tc>
              <w:tc>
                <w:tcPr>
                  <w:tcW w:w="384" w:type="dxa"/>
                </w:tcPr>
                <w:p w14:paraId="23666D0C"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420" w:type="dxa"/>
                  <w:shd w:val="clear" w:color="auto" w:fill="D9D9D9" w:themeFill="background1" w:themeFillShade="D9"/>
                </w:tcPr>
                <w:p w14:paraId="2B722AE5"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401" w:type="dxa"/>
                </w:tcPr>
                <w:p w14:paraId="55E45C3F"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401" w:type="dxa"/>
                  <w:shd w:val="clear" w:color="auto" w:fill="D9D9D9" w:themeFill="background1" w:themeFillShade="D9"/>
                </w:tcPr>
                <w:p w14:paraId="34B3BA8C"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401" w:type="dxa"/>
                  <w:shd w:val="clear" w:color="auto" w:fill="auto"/>
                </w:tcPr>
                <w:p w14:paraId="6E0868A5"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400" w:type="dxa"/>
                  <w:shd w:val="clear" w:color="auto" w:fill="D9D9D9" w:themeFill="background1" w:themeFillShade="D9"/>
                </w:tcPr>
                <w:p w14:paraId="53A36F56"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400" w:type="dxa"/>
                  <w:shd w:val="clear" w:color="auto" w:fill="auto"/>
                </w:tcPr>
                <w:p w14:paraId="3FF31793"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400" w:type="dxa"/>
                  <w:shd w:val="clear" w:color="auto" w:fill="D9D9D9" w:themeFill="background1" w:themeFillShade="D9"/>
                </w:tcPr>
                <w:p w14:paraId="6BDC3A5E"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401" w:type="dxa"/>
                  <w:shd w:val="clear" w:color="auto" w:fill="auto"/>
                </w:tcPr>
                <w:p w14:paraId="7AB80B6D"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400" w:type="dxa"/>
                  <w:shd w:val="clear" w:color="auto" w:fill="D9D9D9" w:themeFill="background1" w:themeFillShade="D9"/>
                </w:tcPr>
                <w:p w14:paraId="019B485E"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400" w:type="dxa"/>
                </w:tcPr>
                <w:p w14:paraId="3D33E3B0"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400" w:type="dxa"/>
                  <w:shd w:val="clear" w:color="auto" w:fill="D9D9D9" w:themeFill="background1" w:themeFillShade="D9"/>
                </w:tcPr>
                <w:p w14:paraId="0AB2B0DB"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401" w:type="dxa"/>
                </w:tcPr>
                <w:p w14:paraId="04377F4E"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400" w:type="dxa"/>
                  <w:shd w:val="clear" w:color="auto" w:fill="D9D9D9" w:themeFill="background1" w:themeFillShade="D9"/>
                </w:tcPr>
                <w:p w14:paraId="601B7A39"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400" w:type="dxa"/>
                </w:tcPr>
                <w:p w14:paraId="192CC0F7"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411" w:type="dxa"/>
                  <w:shd w:val="clear" w:color="auto" w:fill="D9D9D9" w:themeFill="background1" w:themeFillShade="D9"/>
                </w:tcPr>
                <w:p w14:paraId="64F3788E" w14:textId="77777777" w:rsidR="00036EF7" w:rsidRPr="005569DE" w:rsidRDefault="00036EF7" w:rsidP="00036EF7">
                  <w:pPr>
                    <w:jc w:val="center"/>
                    <w:rPr>
                      <w:rFonts w:ascii="Times New Roman" w:hAnsi="Times New Roman" w:cs="Times New Roman"/>
                      <w:sz w:val="16"/>
                      <w:szCs w:val="16"/>
                      <w:highlight w:val="lightGray"/>
                    </w:rPr>
                  </w:pPr>
                </w:p>
              </w:tc>
              <w:tc>
                <w:tcPr>
                  <w:tcW w:w="400" w:type="dxa"/>
                  <w:shd w:val="clear" w:color="auto" w:fill="D9D9D9" w:themeFill="background1" w:themeFillShade="D9"/>
                </w:tcPr>
                <w:p w14:paraId="6B64BB98"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399" w:type="dxa"/>
                  <w:shd w:val="clear" w:color="auto" w:fill="D9D9D9" w:themeFill="background1" w:themeFillShade="D9"/>
                </w:tcPr>
                <w:p w14:paraId="127DB886"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394" w:type="dxa"/>
                </w:tcPr>
                <w:p w14:paraId="7C1C9B5B" w14:textId="77777777" w:rsidR="00036EF7" w:rsidRPr="005569DE" w:rsidRDefault="00036EF7" w:rsidP="00036EF7">
                  <w:pPr>
                    <w:jc w:val="center"/>
                    <w:rPr>
                      <w:rFonts w:ascii="Times New Roman" w:hAnsi="Times New Roman" w:cs="Times New Roman"/>
                      <w:sz w:val="16"/>
                      <w:szCs w:val="16"/>
                      <w:highlight w:val="lightGray"/>
                      <w:lang w:val="en-US"/>
                    </w:rPr>
                  </w:pPr>
                </w:p>
              </w:tc>
              <w:tc>
                <w:tcPr>
                  <w:tcW w:w="400" w:type="dxa"/>
                  <w:shd w:val="clear" w:color="auto" w:fill="auto"/>
                </w:tcPr>
                <w:p w14:paraId="7080F87A" w14:textId="77777777" w:rsidR="00036EF7" w:rsidRPr="005569DE" w:rsidRDefault="00036EF7" w:rsidP="00036EF7">
                  <w:pPr>
                    <w:jc w:val="center"/>
                    <w:rPr>
                      <w:rFonts w:ascii="Times New Roman" w:hAnsi="Times New Roman" w:cs="Times New Roman"/>
                      <w:sz w:val="16"/>
                      <w:szCs w:val="16"/>
                      <w:highlight w:val="lightGray"/>
                      <w:lang w:val="en-US"/>
                    </w:rPr>
                  </w:pPr>
                </w:p>
              </w:tc>
            </w:tr>
            <w:tr w:rsidR="00036EF7" w:rsidRPr="00241348" w14:paraId="53FEE279" w14:textId="77777777" w:rsidTr="00D7324A">
              <w:tc>
                <w:tcPr>
                  <w:tcW w:w="903" w:type="dxa"/>
                  <w:shd w:val="clear" w:color="auto" w:fill="FDE9D9" w:themeFill="accent6" w:themeFillTint="33"/>
                </w:tcPr>
                <w:p w14:paraId="2DC54F39" w14:textId="77777777" w:rsidR="00036EF7" w:rsidRPr="00241348" w:rsidRDefault="00036EF7" w:rsidP="00036EF7">
                  <w:pPr>
                    <w:jc w:val="both"/>
                    <w:rPr>
                      <w:rFonts w:ascii="Times New Roman" w:hAnsi="Times New Roman" w:cs="Times New Roman"/>
                      <w:sz w:val="16"/>
                      <w:szCs w:val="16"/>
                      <w:lang w:val="en-US"/>
                    </w:rPr>
                  </w:pPr>
                  <w:r w:rsidRPr="008D07BD">
                    <w:rPr>
                      <w:rFonts w:ascii="Times New Roman" w:hAnsi="Times New Roman" w:cs="Times New Roman"/>
                      <w:sz w:val="16"/>
                      <w:szCs w:val="16"/>
                      <w:lang w:val="en-US"/>
                    </w:rPr>
                    <w:t>1.4.1.</w:t>
                  </w:r>
                </w:p>
              </w:tc>
              <w:tc>
                <w:tcPr>
                  <w:tcW w:w="384" w:type="dxa"/>
                </w:tcPr>
                <w:p w14:paraId="057D0365" w14:textId="77777777" w:rsidR="00036EF7" w:rsidRPr="00241348" w:rsidRDefault="00036EF7" w:rsidP="00036EF7">
                  <w:pPr>
                    <w:jc w:val="center"/>
                    <w:rPr>
                      <w:rFonts w:ascii="Times New Roman" w:hAnsi="Times New Roman" w:cs="Times New Roman"/>
                      <w:sz w:val="16"/>
                      <w:szCs w:val="16"/>
                      <w:lang w:val="en-US"/>
                    </w:rPr>
                  </w:pPr>
                </w:p>
              </w:tc>
              <w:tc>
                <w:tcPr>
                  <w:tcW w:w="420" w:type="dxa"/>
                  <w:shd w:val="clear" w:color="auto" w:fill="D9D9D9" w:themeFill="background1" w:themeFillShade="D9"/>
                </w:tcPr>
                <w:p w14:paraId="27F7EA52"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6CE52134"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2D37CACB"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506B8DCF"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492C23A7"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3D609542"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3D4AEBC7"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7E441339"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14A25B0F"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338C10E9"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1F7198E8"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6403C316"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7F6015C7"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24307DFD" w14:textId="77777777" w:rsidR="00036EF7" w:rsidRPr="00241348" w:rsidRDefault="00036EF7" w:rsidP="00036EF7">
                  <w:pPr>
                    <w:jc w:val="center"/>
                    <w:rPr>
                      <w:rFonts w:ascii="Times New Roman" w:hAnsi="Times New Roman" w:cs="Times New Roman"/>
                      <w:sz w:val="16"/>
                      <w:szCs w:val="16"/>
                      <w:lang w:val="en-US"/>
                    </w:rPr>
                  </w:pPr>
                </w:p>
              </w:tc>
              <w:tc>
                <w:tcPr>
                  <w:tcW w:w="411" w:type="dxa"/>
                  <w:shd w:val="clear" w:color="auto" w:fill="D9D9D9" w:themeFill="background1" w:themeFillShade="D9"/>
                </w:tcPr>
                <w:p w14:paraId="735E0EC6"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7A69C726" w14:textId="77777777" w:rsidR="00036EF7" w:rsidRPr="00241348" w:rsidRDefault="00036EF7" w:rsidP="00036EF7">
                  <w:pPr>
                    <w:jc w:val="center"/>
                    <w:rPr>
                      <w:rFonts w:ascii="Times New Roman" w:hAnsi="Times New Roman" w:cs="Times New Roman"/>
                      <w:sz w:val="16"/>
                      <w:szCs w:val="16"/>
                      <w:lang w:val="en-US"/>
                    </w:rPr>
                  </w:pPr>
                </w:p>
              </w:tc>
              <w:tc>
                <w:tcPr>
                  <w:tcW w:w="399" w:type="dxa"/>
                  <w:shd w:val="clear" w:color="auto" w:fill="D9D9D9" w:themeFill="background1" w:themeFillShade="D9"/>
                </w:tcPr>
                <w:p w14:paraId="4709FB82" w14:textId="77777777" w:rsidR="00036EF7" w:rsidRPr="00241348" w:rsidRDefault="00036EF7" w:rsidP="00036EF7">
                  <w:pPr>
                    <w:jc w:val="center"/>
                    <w:rPr>
                      <w:rFonts w:ascii="Times New Roman" w:hAnsi="Times New Roman" w:cs="Times New Roman"/>
                      <w:sz w:val="16"/>
                      <w:szCs w:val="16"/>
                      <w:lang w:val="en-US"/>
                    </w:rPr>
                  </w:pPr>
                </w:p>
              </w:tc>
              <w:tc>
                <w:tcPr>
                  <w:tcW w:w="394" w:type="dxa"/>
                  <w:shd w:val="clear" w:color="auto" w:fill="D9D9D9" w:themeFill="background1" w:themeFillShade="D9"/>
                </w:tcPr>
                <w:p w14:paraId="65028A0F"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auto"/>
                </w:tcPr>
                <w:p w14:paraId="2D774781" w14:textId="77777777" w:rsidR="00036EF7" w:rsidRPr="00E06D88" w:rsidRDefault="00036EF7" w:rsidP="00036EF7">
                  <w:pPr>
                    <w:jc w:val="center"/>
                    <w:rPr>
                      <w:rFonts w:ascii="Times New Roman" w:hAnsi="Times New Roman" w:cs="Times New Roman"/>
                      <w:sz w:val="16"/>
                      <w:szCs w:val="16"/>
                      <w:lang w:val="en-US"/>
                    </w:rPr>
                  </w:pPr>
                </w:p>
              </w:tc>
            </w:tr>
            <w:tr w:rsidR="00036EF7" w:rsidRPr="00241348" w14:paraId="1DACC670" w14:textId="77777777" w:rsidTr="007E1F8D">
              <w:tc>
                <w:tcPr>
                  <w:tcW w:w="903" w:type="dxa"/>
                  <w:shd w:val="clear" w:color="auto" w:fill="FDE9D9" w:themeFill="accent6" w:themeFillTint="33"/>
                </w:tcPr>
                <w:p w14:paraId="74432827" w14:textId="77777777" w:rsidR="00036EF7" w:rsidRPr="00241348" w:rsidRDefault="00036EF7" w:rsidP="00036EF7">
                  <w:pPr>
                    <w:jc w:val="both"/>
                    <w:rPr>
                      <w:rFonts w:ascii="Times New Roman" w:hAnsi="Times New Roman" w:cs="Times New Roman"/>
                      <w:sz w:val="16"/>
                      <w:szCs w:val="16"/>
                      <w:lang w:val="en-US"/>
                    </w:rPr>
                  </w:pPr>
                  <w:r w:rsidRPr="001E6F6A">
                    <w:rPr>
                      <w:rFonts w:ascii="Times New Roman" w:hAnsi="Times New Roman" w:cs="Times New Roman"/>
                      <w:sz w:val="16"/>
                      <w:szCs w:val="16"/>
                      <w:lang w:val="en-US"/>
                    </w:rPr>
                    <w:t xml:space="preserve">1.4.2. </w:t>
                  </w:r>
                </w:p>
              </w:tc>
              <w:tc>
                <w:tcPr>
                  <w:tcW w:w="384" w:type="dxa"/>
                </w:tcPr>
                <w:p w14:paraId="4F684519" w14:textId="77777777" w:rsidR="00036EF7" w:rsidRPr="00241348" w:rsidRDefault="00036EF7" w:rsidP="00036EF7">
                  <w:pPr>
                    <w:jc w:val="center"/>
                    <w:rPr>
                      <w:rFonts w:ascii="Times New Roman" w:hAnsi="Times New Roman" w:cs="Times New Roman"/>
                      <w:sz w:val="16"/>
                      <w:szCs w:val="16"/>
                      <w:lang w:val="en-US"/>
                    </w:rPr>
                  </w:pPr>
                </w:p>
              </w:tc>
              <w:tc>
                <w:tcPr>
                  <w:tcW w:w="420" w:type="dxa"/>
                  <w:shd w:val="clear" w:color="auto" w:fill="D9D9D9" w:themeFill="background1" w:themeFillShade="D9"/>
                </w:tcPr>
                <w:p w14:paraId="6E2F9D55"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33B3AA22"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0E92B5B1"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2D510AE3"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191B7A2A"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FFFFFF" w:themeFill="background1"/>
                </w:tcPr>
                <w:p w14:paraId="4E2A4C9D"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FFFFFF" w:themeFill="background1"/>
                </w:tcPr>
                <w:p w14:paraId="47C9F515" w14:textId="77777777" w:rsidR="00036EF7" w:rsidRPr="00241348" w:rsidRDefault="00036EF7" w:rsidP="00036EF7">
                  <w:pPr>
                    <w:jc w:val="center"/>
                    <w:rPr>
                      <w:rFonts w:ascii="Times New Roman" w:hAnsi="Times New Roman" w:cs="Times New Roman"/>
                      <w:sz w:val="16"/>
                      <w:szCs w:val="16"/>
                      <w:lang w:val="en-US"/>
                    </w:rPr>
                  </w:pPr>
                </w:p>
              </w:tc>
              <w:tc>
                <w:tcPr>
                  <w:tcW w:w="401" w:type="dxa"/>
                </w:tcPr>
                <w:p w14:paraId="29CBFC80"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11A2741F"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204D96E4"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5BA26332" w14:textId="77777777" w:rsidR="00036EF7" w:rsidRPr="00241348" w:rsidRDefault="00036EF7" w:rsidP="00036EF7">
                  <w:pPr>
                    <w:jc w:val="center"/>
                    <w:rPr>
                      <w:rFonts w:ascii="Times New Roman" w:hAnsi="Times New Roman" w:cs="Times New Roman"/>
                      <w:sz w:val="16"/>
                      <w:szCs w:val="16"/>
                      <w:lang w:val="en-US"/>
                    </w:rPr>
                  </w:pPr>
                </w:p>
              </w:tc>
              <w:tc>
                <w:tcPr>
                  <w:tcW w:w="401" w:type="dxa"/>
                </w:tcPr>
                <w:p w14:paraId="7FC4621B"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2BF4AA0F"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642CCBDA" w14:textId="77777777" w:rsidR="00036EF7" w:rsidRPr="00241348" w:rsidRDefault="00036EF7" w:rsidP="00036EF7">
                  <w:pPr>
                    <w:jc w:val="center"/>
                    <w:rPr>
                      <w:rFonts w:ascii="Times New Roman" w:hAnsi="Times New Roman" w:cs="Times New Roman"/>
                      <w:sz w:val="16"/>
                      <w:szCs w:val="16"/>
                      <w:lang w:val="en-US"/>
                    </w:rPr>
                  </w:pPr>
                </w:p>
              </w:tc>
              <w:tc>
                <w:tcPr>
                  <w:tcW w:w="411" w:type="dxa"/>
                </w:tcPr>
                <w:p w14:paraId="25955233"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6C7F267F" w14:textId="77777777" w:rsidR="00036EF7" w:rsidRPr="00241348" w:rsidRDefault="00036EF7" w:rsidP="00036EF7">
                  <w:pPr>
                    <w:jc w:val="center"/>
                    <w:rPr>
                      <w:rFonts w:ascii="Times New Roman" w:hAnsi="Times New Roman" w:cs="Times New Roman"/>
                      <w:sz w:val="16"/>
                      <w:szCs w:val="16"/>
                      <w:lang w:val="en-US"/>
                    </w:rPr>
                  </w:pPr>
                </w:p>
              </w:tc>
              <w:tc>
                <w:tcPr>
                  <w:tcW w:w="399" w:type="dxa"/>
                </w:tcPr>
                <w:p w14:paraId="64F4CA46" w14:textId="77777777" w:rsidR="00036EF7" w:rsidRPr="00241348" w:rsidRDefault="00036EF7" w:rsidP="00036EF7">
                  <w:pPr>
                    <w:jc w:val="center"/>
                    <w:rPr>
                      <w:rFonts w:ascii="Times New Roman" w:hAnsi="Times New Roman" w:cs="Times New Roman"/>
                      <w:sz w:val="16"/>
                      <w:szCs w:val="16"/>
                      <w:lang w:val="en-US"/>
                    </w:rPr>
                  </w:pPr>
                </w:p>
              </w:tc>
              <w:tc>
                <w:tcPr>
                  <w:tcW w:w="394" w:type="dxa"/>
                </w:tcPr>
                <w:p w14:paraId="1E00CE40"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1FF53987" w14:textId="77777777" w:rsidR="00036EF7" w:rsidRPr="00241348" w:rsidRDefault="00036EF7" w:rsidP="00036EF7">
                  <w:pPr>
                    <w:jc w:val="center"/>
                    <w:rPr>
                      <w:rFonts w:ascii="Times New Roman" w:hAnsi="Times New Roman" w:cs="Times New Roman"/>
                      <w:sz w:val="16"/>
                      <w:szCs w:val="16"/>
                      <w:lang w:val="en-US"/>
                    </w:rPr>
                  </w:pPr>
                </w:p>
              </w:tc>
            </w:tr>
            <w:tr w:rsidR="00036EF7" w:rsidRPr="00241348" w14:paraId="32B77C27" w14:textId="77777777" w:rsidTr="002D2F2A">
              <w:tc>
                <w:tcPr>
                  <w:tcW w:w="903" w:type="dxa"/>
                  <w:shd w:val="clear" w:color="auto" w:fill="FDE9D9" w:themeFill="accent6" w:themeFillTint="33"/>
                </w:tcPr>
                <w:p w14:paraId="08457ABA" w14:textId="77777777" w:rsidR="00036EF7" w:rsidRPr="00241348" w:rsidRDefault="00036EF7" w:rsidP="00036EF7">
                  <w:pPr>
                    <w:jc w:val="both"/>
                    <w:rPr>
                      <w:rFonts w:ascii="Times New Roman" w:hAnsi="Times New Roman" w:cs="Times New Roman"/>
                      <w:sz w:val="16"/>
                      <w:szCs w:val="16"/>
                      <w:lang w:val="en-US"/>
                    </w:rPr>
                  </w:pPr>
                  <w:r w:rsidRPr="002A18C4">
                    <w:rPr>
                      <w:rFonts w:ascii="Times New Roman" w:hAnsi="Times New Roman" w:cs="Times New Roman"/>
                      <w:sz w:val="16"/>
                      <w:szCs w:val="16"/>
                      <w:lang w:val="en-US"/>
                    </w:rPr>
                    <w:t xml:space="preserve">1.5. </w:t>
                  </w:r>
                </w:p>
              </w:tc>
              <w:tc>
                <w:tcPr>
                  <w:tcW w:w="384" w:type="dxa"/>
                </w:tcPr>
                <w:p w14:paraId="6C81E259" w14:textId="77777777" w:rsidR="00036EF7" w:rsidRPr="00241348" w:rsidRDefault="00036EF7" w:rsidP="00036EF7">
                  <w:pPr>
                    <w:jc w:val="center"/>
                    <w:rPr>
                      <w:rFonts w:ascii="Times New Roman" w:hAnsi="Times New Roman" w:cs="Times New Roman"/>
                      <w:sz w:val="16"/>
                      <w:szCs w:val="16"/>
                      <w:lang w:val="en-US"/>
                    </w:rPr>
                  </w:pPr>
                </w:p>
              </w:tc>
              <w:tc>
                <w:tcPr>
                  <w:tcW w:w="420" w:type="dxa"/>
                </w:tcPr>
                <w:p w14:paraId="4DD553B0" w14:textId="77777777" w:rsidR="00036EF7" w:rsidRPr="00241348" w:rsidRDefault="00036EF7" w:rsidP="00036EF7">
                  <w:pPr>
                    <w:jc w:val="center"/>
                    <w:rPr>
                      <w:rFonts w:ascii="Times New Roman" w:hAnsi="Times New Roman" w:cs="Times New Roman"/>
                      <w:sz w:val="16"/>
                      <w:szCs w:val="16"/>
                      <w:lang w:val="en-US"/>
                    </w:rPr>
                  </w:pPr>
                </w:p>
              </w:tc>
              <w:tc>
                <w:tcPr>
                  <w:tcW w:w="401" w:type="dxa"/>
                </w:tcPr>
                <w:p w14:paraId="0BF85B63" w14:textId="77777777" w:rsidR="00036EF7" w:rsidRPr="00241348" w:rsidRDefault="00036EF7" w:rsidP="00036EF7">
                  <w:pPr>
                    <w:jc w:val="center"/>
                    <w:rPr>
                      <w:rFonts w:ascii="Times New Roman" w:hAnsi="Times New Roman" w:cs="Times New Roman"/>
                      <w:sz w:val="16"/>
                      <w:szCs w:val="16"/>
                      <w:lang w:val="en-US"/>
                    </w:rPr>
                  </w:pPr>
                </w:p>
              </w:tc>
              <w:tc>
                <w:tcPr>
                  <w:tcW w:w="401" w:type="dxa"/>
                </w:tcPr>
                <w:p w14:paraId="51D68D47" w14:textId="77777777" w:rsidR="00036EF7" w:rsidRPr="00241348" w:rsidRDefault="00036EF7" w:rsidP="00036EF7">
                  <w:pPr>
                    <w:jc w:val="center"/>
                    <w:rPr>
                      <w:rFonts w:ascii="Times New Roman" w:hAnsi="Times New Roman" w:cs="Times New Roman"/>
                      <w:sz w:val="16"/>
                      <w:szCs w:val="16"/>
                      <w:lang w:val="en-US"/>
                    </w:rPr>
                  </w:pPr>
                </w:p>
              </w:tc>
              <w:tc>
                <w:tcPr>
                  <w:tcW w:w="401" w:type="dxa"/>
                </w:tcPr>
                <w:p w14:paraId="2EF6ABFE"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483108E3"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1C2ECF99"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4ADEDFF9" w14:textId="77777777" w:rsidR="00036EF7" w:rsidRPr="00241348" w:rsidRDefault="00036EF7" w:rsidP="00036EF7">
                  <w:pPr>
                    <w:jc w:val="center"/>
                    <w:rPr>
                      <w:rFonts w:ascii="Times New Roman" w:hAnsi="Times New Roman" w:cs="Times New Roman"/>
                      <w:sz w:val="16"/>
                      <w:szCs w:val="16"/>
                      <w:lang w:val="en-US"/>
                    </w:rPr>
                  </w:pPr>
                </w:p>
              </w:tc>
              <w:tc>
                <w:tcPr>
                  <w:tcW w:w="401" w:type="dxa"/>
                </w:tcPr>
                <w:p w14:paraId="6343208E"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2144E445"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6AF5E821"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76D73B9C"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auto"/>
                </w:tcPr>
                <w:p w14:paraId="3A16D92A"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auto"/>
                </w:tcPr>
                <w:p w14:paraId="19960617"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auto"/>
                </w:tcPr>
                <w:p w14:paraId="2B744E10" w14:textId="77777777" w:rsidR="00036EF7" w:rsidRPr="00241348" w:rsidRDefault="00036EF7" w:rsidP="00036EF7">
                  <w:pPr>
                    <w:jc w:val="center"/>
                    <w:rPr>
                      <w:rFonts w:ascii="Times New Roman" w:hAnsi="Times New Roman" w:cs="Times New Roman"/>
                      <w:sz w:val="16"/>
                      <w:szCs w:val="16"/>
                      <w:lang w:val="en-US"/>
                    </w:rPr>
                  </w:pPr>
                </w:p>
              </w:tc>
              <w:tc>
                <w:tcPr>
                  <w:tcW w:w="411" w:type="dxa"/>
                  <w:shd w:val="clear" w:color="auto" w:fill="D9D9D9" w:themeFill="background1" w:themeFillShade="D9"/>
                </w:tcPr>
                <w:p w14:paraId="27E38E03"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5FCBC688" w14:textId="77777777" w:rsidR="00036EF7" w:rsidRPr="00241348" w:rsidRDefault="00036EF7" w:rsidP="00036EF7">
                  <w:pPr>
                    <w:jc w:val="center"/>
                    <w:rPr>
                      <w:rFonts w:ascii="Times New Roman" w:hAnsi="Times New Roman" w:cs="Times New Roman"/>
                      <w:sz w:val="16"/>
                      <w:szCs w:val="16"/>
                      <w:lang w:val="en-US"/>
                    </w:rPr>
                  </w:pPr>
                </w:p>
              </w:tc>
              <w:tc>
                <w:tcPr>
                  <w:tcW w:w="399" w:type="dxa"/>
                  <w:shd w:val="clear" w:color="auto" w:fill="D9D9D9" w:themeFill="background1" w:themeFillShade="D9"/>
                </w:tcPr>
                <w:p w14:paraId="278C2726" w14:textId="77777777" w:rsidR="00036EF7" w:rsidRPr="00241348" w:rsidRDefault="00036EF7" w:rsidP="00036EF7">
                  <w:pPr>
                    <w:jc w:val="center"/>
                    <w:rPr>
                      <w:rFonts w:ascii="Times New Roman" w:hAnsi="Times New Roman" w:cs="Times New Roman"/>
                      <w:sz w:val="16"/>
                      <w:szCs w:val="16"/>
                      <w:lang w:val="en-US"/>
                    </w:rPr>
                  </w:pPr>
                </w:p>
              </w:tc>
              <w:tc>
                <w:tcPr>
                  <w:tcW w:w="394" w:type="dxa"/>
                  <w:shd w:val="clear" w:color="auto" w:fill="auto"/>
                </w:tcPr>
                <w:p w14:paraId="46C6AB2E"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auto"/>
                </w:tcPr>
                <w:p w14:paraId="4EA1DD66" w14:textId="77777777" w:rsidR="00036EF7" w:rsidRPr="00241348" w:rsidRDefault="00036EF7" w:rsidP="00036EF7">
                  <w:pPr>
                    <w:jc w:val="center"/>
                    <w:rPr>
                      <w:rFonts w:ascii="Times New Roman" w:hAnsi="Times New Roman" w:cs="Times New Roman"/>
                      <w:sz w:val="16"/>
                      <w:szCs w:val="16"/>
                      <w:lang w:val="en-US"/>
                    </w:rPr>
                  </w:pPr>
                </w:p>
              </w:tc>
            </w:tr>
            <w:tr w:rsidR="00036EF7" w:rsidRPr="00241348" w14:paraId="278F0124" w14:textId="77777777" w:rsidTr="00026E61">
              <w:tc>
                <w:tcPr>
                  <w:tcW w:w="903" w:type="dxa"/>
                  <w:shd w:val="clear" w:color="auto" w:fill="FDE9D9" w:themeFill="accent6" w:themeFillTint="33"/>
                </w:tcPr>
                <w:p w14:paraId="4422C5CD" w14:textId="77777777" w:rsidR="00036EF7" w:rsidRPr="00241348" w:rsidRDefault="00036EF7" w:rsidP="00036EF7">
                  <w:pPr>
                    <w:jc w:val="both"/>
                    <w:rPr>
                      <w:rFonts w:ascii="Times New Roman" w:hAnsi="Times New Roman" w:cs="Times New Roman"/>
                      <w:sz w:val="16"/>
                      <w:szCs w:val="16"/>
                      <w:lang w:val="en-US"/>
                    </w:rPr>
                  </w:pPr>
                  <w:r w:rsidRPr="00BB2BEE">
                    <w:rPr>
                      <w:rFonts w:ascii="Times New Roman" w:hAnsi="Times New Roman" w:cs="Times New Roman"/>
                      <w:sz w:val="16"/>
                      <w:szCs w:val="16"/>
                      <w:lang w:val="en-US"/>
                    </w:rPr>
                    <w:t xml:space="preserve">2.1. </w:t>
                  </w:r>
                </w:p>
              </w:tc>
              <w:tc>
                <w:tcPr>
                  <w:tcW w:w="384" w:type="dxa"/>
                  <w:shd w:val="clear" w:color="auto" w:fill="auto"/>
                </w:tcPr>
                <w:p w14:paraId="050B16F4" w14:textId="77777777" w:rsidR="00036EF7" w:rsidRPr="00241348" w:rsidRDefault="00036EF7" w:rsidP="00036EF7">
                  <w:pPr>
                    <w:jc w:val="center"/>
                    <w:rPr>
                      <w:rFonts w:ascii="Times New Roman" w:hAnsi="Times New Roman" w:cs="Times New Roman"/>
                      <w:sz w:val="16"/>
                      <w:szCs w:val="16"/>
                      <w:lang w:val="en-US"/>
                    </w:rPr>
                  </w:pPr>
                </w:p>
              </w:tc>
              <w:tc>
                <w:tcPr>
                  <w:tcW w:w="420" w:type="dxa"/>
                  <w:shd w:val="clear" w:color="auto" w:fill="auto"/>
                </w:tcPr>
                <w:p w14:paraId="157C3B13"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59F316BA"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5DBBBAB4"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05F68321"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5D114681"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7ACAA192"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4AA54EA8"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42C75D2C"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754E282A"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5267C287"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719E84D7"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695B171A"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669228F8"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103A9AD9" w14:textId="77777777" w:rsidR="00036EF7" w:rsidRPr="00241348" w:rsidRDefault="00036EF7" w:rsidP="00036EF7">
                  <w:pPr>
                    <w:jc w:val="center"/>
                    <w:rPr>
                      <w:rFonts w:ascii="Times New Roman" w:hAnsi="Times New Roman" w:cs="Times New Roman"/>
                      <w:sz w:val="16"/>
                      <w:szCs w:val="16"/>
                      <w:lang w:val="en-US"/>
                    </w:rPr>
                  </w:pPr>
                </w:p>
              </w:tc>
              <w:tc>
                <w:tcPr>
                  <w:tcW w:w="411" w:type="dxa"/>
                  <w:shd w:val="clear" w:color="auto" w:fill="D9D9D9" w:themeFill="background1" w:themeFillShade="D9"/>
                </w:tcPr>
                <w:p w14:paraId="335327C3"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18292EC5" w14:textId="77777777" w:rsidR="00036EF7" w:rsidRPr="00241348" w:rsidRDefault="00036EF7" w:rsidP="00036EF7">
                  <w:pPr>
                    <w:jc w:val="center"/>
                    <w:rPr>
                      <w:rFonts w:ascii="Times New Roman" w:hAnsi="Times New Roman" w:cs="Times New Roman"/>
                      <w:sz w:val="16"/>
                      <w:szCs w:val="16"/>
                      <w:lang w:val="en-US"/>
                    </w:rPr>
                  </w:pPr>
                </w:p>
              </w:tc>
              <w:tc>
                <w:tcPr>
                  <w:tcW w:w="399" w:type="dxa"/>
                </w:tcPr>
                <w:p w14:paraId="7EF4079D" w14:textId="77777777" w:rsidR="00036EF7" w:rsidRPr="00241348" w:rsidRDefault="00036EF7" w:rsidP="00036EF7">
                  <w:pPr>
                    <w:jc w:val="center"/>
                    <w:rPr>
                      <w:rFonts w:ascii="Times New Roman" w:hAnsi="Times New Roman" w:cs="Times New Roman"/>
                      <w:sz w:val="16"/>
                      <w:szCs w:val="16"/>
                      <w:lang w:val="en-US"/>
                    </w:rPr>
                  </w:pPr>
                </w:p>
              </w:tc>
              <w:tc>
                <w:tcPr>
                  <w:tcW w:w="394" w:type="dxa"/>
                </w:tcPr>
                <w:p w14:paraId="72D5203F"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754307CC" w14:textId="77777777" w:rsidR="00036EF7" w:rsidRPr="00241348" w:rsidRDefault="00036EF7" w:rsidP="00036EF7">
                  <w:pPr>
                    <w:jc w:val="center"/>
                    <w:rPr>
                      <w:rFonts w:ascii="Times New Roman" w:hAnsi="Times New Roman" w:cs="Times New Roman"/>
                      <w:sz w:val="16"/>
                      <w:szCs w:val="16"/>
                      <w:lang w:val="en-US"/>
                    </w:rPr>
                  </w:pPr>
                </w:p>
              </w:tc>
            </w:tr>
            <w:tr w:rsidR="00036EF7" w:rsidRPr="00241348" w14:paraId="3D540128" w14:textId="77777777" w:rsidTr="00026E61">
              <w:tc>
                <w:tcPr>
                  <w:tcW w:w="903" w:type="dxa"/>
                  <w:shd w:val="clear" w:color="auto" w:fill="FDE9D9" w:themeFill="accent6" w:themeFillTint="33"/>
                </w:tcPr>
                <w:p w14:paraId="342B8870" w14:textId="77777777" w:rsidR="00036EF7" w:rsidRPr="00241348" w:rsidRDefault="00036EF7" w:rsidP="00036EF7">
                  <w:pPr>
                    <w:jc w:val="both"/>
                    <w:rPr>
                      <w:rFonts w:ascii="Times New Roman" w:hAnsi="Times New Roman" w:cs="Times New Roman"/>
                      <w:sz w:val="16"/>
                      <w:szCs w:val="16"/>
                      <w:lang w:val="en-US"/>
                    </w:rPr>
                  </w:pPr>
                  <w:r w:rsidRPr="005065AF">
                    <w:rPr>
                      <w:rFonts w:ascii="Times New Roman" w:hAnsi="Times New Roman" w:cs="Times New Roman"/>
                      <w:sz w:val="16"/>
                      <w:szCs w:val="16"/>
                      <w:lang w:val="en-US"/>
                    </w:rPr>
                    <w:t xml:space="preserve">2.2. </w:t>
                  </w:r>
                </w:p>
              </w:tc>
              <w:tc>
                <w:tcPr>
                  <w:tcW w:w="384" w:type="dxa"/>
                  <w:shd w:val="clear" w:color="auto" w:fill="auto"/>
                </w:tcPr>
                <w:p w14:paraId="051DF9AC" w14:textId="77777777" w:rsidR="00036EF7" w:rsidRPr="00241348" w:rsidRDefault="00036EF7" w:rsidP="00036EF7">
                  <w:pPr>
                    <w:jc w:val="center"/>
                    <w:rPr>
                      <w:rFonts w:ascii="Times New Roman" w:hAnsi="Times New Roman" w:cs="Times New Roman"/>
                      <w:sz w:val="16"/>
                      <w:szCs w:val="16"/>
                      <w:lang w:val="en-US"/>
                    </w:rPr>
                  </w:pPr>
                </w:p>
              </w:tc>
              <w:tc>
                <w:tcPr>
                  <w:tcW w:w="420" w:type="dxa"/>
                  <w:shd w:val="clear" w:color="auto" w:fill="auto"/>
                </w:tcPr>
                <w:p w14:paraId="69FFEBD0"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1A066A79"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032F6A9E"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4D19EDE3"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76C80A09"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7335F3AD"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77D23027"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558E2F32"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4AB561B6"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2B726713"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5EE90337"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2C2D417A"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5F35BFC2"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2C0A5889" w14:textId="77777777" w:rsidR="00036EF7" w:rsidRPr="00241348" w:rsidRDefault="00036EF7" w:rsidP="00036EF7">
                  <w:pPr>
                    <w:jc w:val="center"/>
                    <w:rPr>
                      <w:rFonts w:ascii="Times New Roman" w:hAnsi="Times New Roman" w:cs="Times New Roman"/>
                      <w:sz w:val="16"/>
                      <w:szCs w:val="16"/>
                      <w:lang w:val="en-US"/>
                    </w:rPr>
                  </w:pPr>
                </w:p>
              </w:tc>
              <w:tc>
                <w:tcPr>
                  <w:tcW w:w="411" w:type="dxa"/>
                  <w:shd w:val="clear" w:color="auto" w:fill="D9D9D9" w:themeFill="background1" w:themeFillShade="D9"/>
                </w:tcPr>
                <w:p w14:paraId="23F33831"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44BF8106" w14:textId="77777777" w:rsidR="00036EF7" w:rsidRPr="00241348" w:rsidRDefault="00036EF7" w:rsidP="00036EF7">
                  <w:pPr>
                    <w:jc w:val="center"/>
                    <w:rPr>
                      <w:rFonts w:ascii="Times New Roman" w:hAnsi="Times New Roman" w:cs="Times New Roman"/>
                      <w:sz w:val="16"/>
                      <w:szCs w:val="16"/>
                      <w:lang w:val="en-US"/>
                    </w:rPr>
                  </w:pPr>
                </w:p>
              </w:tc>
              <w:tc>
                <w:tcPr>
                  <w:tcW w:w="399" w:type="dxa"/>
                </w:tcPr>
                <w:p w14:paraId="01C59920" w14:textId="77777777" w:rsidR="00036EF7" w:rsidRPr="00241348" w:rsidRDefault="00036EF7" w:rsidP="00036EF7">
                  <w:pPr>
                    <w:jc w:val="center"/>
                    <w:rPr>
                      <w:rFonts w:ascii="Times New Roman" w:hAnsi="Times New Roman" w:cs="Times New Roman"/>
                      <w:sz w:val="16"/>
                      <w:szCs w:val="16"/>
                      <w:lang w:val="en-US"/>
                    </w:rPr>
                  </w:pPr>
                </w:p>
              </w:tc>
              <w:tc>
                <w:tcPr>
                  <w:tcW w:w="394" w:type="dxa"/>
                </w:tcPr>
                <w:p w14:paraId="14902137"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7857047C" w14:textId="77777777" w:rsidR="00036EF7" w:rsidRPr="00241348" w:rsidRDefault="00036EF7" w:rsidP="00036EF7">
                  <w:pPr>
                    <w:jc w:val="center"/>
                    <w:rPr>
                      <w:rFonts w:ascii="Times New Roman" w:hAnsi="Times New Roman" w:cs="Times New Roman"/>
                      <w:sz w:val="16"/>
                      <w:szCs w:val="16"/>
                      <w:lang w:val="en-US"/>
                    </w:rPr>
                  </w:pPr>
                </w:p>
              </w:tc>
            </w:tr>
            <w:tr w:rsidR="00036EF7" w:rsidRPr="00241348" w14:paraId="53206D48" w14:textId="77777777" w:rsidTr="00694341">
              <w:tc>
                <w:tcPr>
                  <w:tcW w:w="903" w:type="dxa"/>
                  <w:shd w:val="clear" w:color="auto" w:fill="FDE9D9" w:themeFill="accent6" w:themeFillTint="33"/>
                </w:tcPr>
                <w:p w14:paraId="5ABD3BF6" w14:textId="77777777" w:rsidR="00036EF7" w:rsidRPr="00241348" w:rsidRDefault="00036EF7" w:rsidP="00036EF7">
                  <w:pPr>
                    <w:jc w:val="both"/>
                    <w:rPr>
                      <w:rFonts w:ascii="Times New Roman" w:hAnsi="Times New Roman" w:cs="Times New Roman"/>
                      <w:sz w:val="16"/>
                      <w:szCs w:val="16"/>
                      <w:lang w:val="en-US"/>
                    </w:rPr>
                  </w:pPr>
                  <w:r w:rsidRPr="00940C3F">
                    <w:rPr>
                      <w:rFonts w:ascii="Times New Roman" w:hAnsi="Times New Roman" w:cs="Times New Roman"/>
                      <w:sz w:val="16"/>
                      <w:szCs w:val="16"/>
                      <w:lang w:val="en-US"/>
                    </w:rPr>
                    <w:t>2.3.</w:t>
                  </w:r>
                  <w:r>
                    <w:rPr>
                      <w:rFonts w:ascii="Times New Roman" w:hAnsi="Times New Roman" w:cs="Times New Roman"/>
                      <w:sz w:val="16"/>
                      <w:szCs w:val="16"/>
                    </w:rPr>
                    <w:t xml:space="preserve"> </w:t>
                  </w:r>
                </w:p>
              </w:tc>
              <w:tc>
                <w:tcPr>
                  <w:tcW w:w="384" w:type="dxa"/>
                  <w:shd w:val="clear" w:color="auto" w:fill="auto"/>
                </w:tcPr>
                <w:p w14:paraId="28B243CE" w14:textId="77777777" w:rsidR="00036EF7" w:rsidRPr="00241348" w:rsidRDefault="00036EF7" w:rsidP="00036EF7">
                  <w:pPr>
                    <w:jc w:val="center"/>
                    <w:rPr>
                      <w:rFonts w:ascii="Times New Roman" w:hAnsi="Times New Roman" w:cs="Times New Roman"/>
                      <w:sz w:val="16"/>
                      <w:szCs w:val="16"/>
                      <w:lang w:val="en-US"/>
                    </w:rPr>
                  </w:pPr>
                </w:p>
              </w:tc>
              <w:tc>
                <w:tcPr>
                  <w:tcW w:w="420" w:type="dxa"/>
                  <w:shd w:val="clear" w:color="auto" w:fill="D9D9D9" w:themeFill="background1" w:themeFillShade="D9"/>
                </w:tcPr>
                <w:p w14:paraId="59DFFDD7"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011A104E"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5FF022BA"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1A7121B9"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01278795"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64891CA5"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7B1CC4A6"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19B11063"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38CE7803"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63DEE0F5"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7868F6FC"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6DD81589"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15BF0981"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5CDC6085" w14:textId="77777777" w:rsidR="00036EF7" w:rsidRPr="00241348" w:rsidRDefault="00036EF7" w:rsidP="00036EF7">
                  <w:pPr>
                    <w:jc w:val="center"/>
                    <w:rPr>
                      <w:rFonts w:ascii="Times New Roman" w:hAnsi="Times New Roman" w:cs="Times New Roman"/>
                      <w:sz w:val="16"/>
                      <w:szCs w:val="16"/>
                      <w:lang w:val="en-US"/>
                    </w:rPr>
                  </w:pPr>
                </w:p>
              </w:tc>
              <w:tc>
                <w:tcPr>
                  <w:tcW w:w="411" w:type="dxa"/>
                  <w:shd w:val="clear" w:color="auto" w:fill="D9D9D9" w:themeFill="background1" w:themeFillShade="D9"/>
                </w:tcPr>
                <w:p w14:paraId="0D6FB32C"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auto"/>
                </w:tcPr>
                <w:p w14:paraId="11396532" w14:textId="77777777" w:rsidR="00036EF7" w:rsidRPr="00241348" w:rsidRDefault="00036EF7" w:rsidP="00036EF7">
                  <w:pPr>
                    <w:jc w:val="center"/>
                    <w:rPr>
                      <w:rFonts w:ascii="Times New Roman" w:hAnsi="Times New Roman" w:cs="Times New Roman"/>
                      <w:sz w:val="16"/>
                      <w:szCs w:val="16"/>
                      <w:lang w:val="en-US"/>
                    </w:rPr>
                  </w:pPr>
                </w:p>
              </w:tc>
              <w:tc>
                <w:tcPr>
                  <w:tcW w:w="399" w:type="dxa"/>
                </w:tcPr>
                <w:p w14:paraId="61EBEA35" w14:textId="77777777" w:rsidR="00036EF7" w:rsidRPr="00241348" w:rsidRDefault="00036EF7" w:rsidP="00036EF7">
                  <w:pPr>
                    <w:jc w:val="center"/>
                    <w:rPr>
                      <w:rFonts w:ascii="Times New Roman" w:hAnsi="Times New Roman" w:cs="Times New Roman"/>
                      <w:sz w:val="16"/>
                      <w:szCs w:val="16"/>
                      <w:lang w:val="en-US"/>
                    </w:rPr>
                  </w:pPr>
                </w:p>
              </w:tc>
              <w:tc>
                <w:tcPr>
                  <w:tcW w:w="394" w:type="dxa"/>
                </w:tcPr>
                <w:p w14:paraId="3284D230"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2C805A99" w14:textId="77777777" w:rsidR="00036EF7" w:rsidRPr="00241348" w:rsidRDefault="00036EF7" w:rsidP="00036EF7">
                  <w:pPr>
                    <w:jc w:val="center"/>
                    <w:rPr>
                      <w:rFonts w:ascii="Times New Roman" w:hAnsi="Times New Roman" w:cs="Times New Roman"/>
                      <w:sz w:val="16"/>
                      <w:szCs w:val="16"/>
                      <w:lang w:val="en-US"/>
                    </w:rPr>
                  </w:pPr>
                </w:p>
              </w:tc>
            </w:tr>
            <w:tr w:rsidR="00036EF7" w:rsidRPr="00241348" w14:paraId="6A9B9617" w14:textId="77777777" w:rsidTr="007071BB">
              <w:tc>
                <w:tcPr>
                  <w:tcW w:w="903" w:type="dxa"/>
                  <w:shd w:val="clear" w:color="auto" w:fill="FDE9D9" w:themeFill="accent6" w:themeFillTint="33"/>
                </w:tcPr>
                <w:p w14:paraId="1E0D4ADC" w14:textId="77777777" w:rsidR="00036EF7" w:rsidRPr="00241348" w:rsidRDefault="00036EF7" w:rsidP="00036EF7">
                  <w:pPr>
                    <w:jc w:val="both"/>
                    <w:rPr>
                      <w:rFonts w:ascii="Times New Roman" w:hAnsi="Times New Roman" w:cs="Times New Roman"/>
                      <w:sz w:val="16"/>
                      <w:szCs w:val="16"/>
                      <w:lang w:val="en-US"/>
                    </w:rPr>
                  </w:pPr>
                  <w:r w:rsidRPr="00B64AA8">
                    <w:rPr>
                      <w:rFonts w:ascii="Times New Roman" w:hAnsi="Times New Roman" w:cs="Times New Roman"/>
                      <w:sz w:val="16"/>
                      <w:szCs w:val="16"/>
                      <w:lang w:val="en-US"/>
                    </w:rPr>
                    <w:t xml:space="preserve">3.1. </w:t>
                  </w:r>
                </w:p>
              </w:tc>
              <w:tc>
                <w:tcPr>
                  <w:tcW w:w="384" w:type="dxa"/>
                </w:tcPr>
                <w:p w14:paraId="7EFD9C61" w14:textId="77777777" w:rsidR="00036EF7" w:rsidRPr="00241348" w:rsidRDefault="00036EF7" w:rsidP="00036EF7">
                  <w:pPr>
                    <w:jc w:val="center"/>
                    <w:rPr>
                      <w:rFonts w:ascii="Times New Roman" w:hAnsi="Times New Roman" w:cs="Times New Roman"/>
                      <w:sz w:val="16"/>
                      <w:szCs w:val="16"/>
                      <w:lang w:val="en-US"/>
                    </w:rPr>
                  </w:pPr>
                </w:p>
              </w:tc>
              <w:tc>
                <w:tcPr>
                  <w:tcW w:w="420" w:type="dxa"/>
                </w:tcPr>
                <w:p w14:paraId="626539DC"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60699A3E"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4E4F16E3" w14:textId="77777777" w:rsidR="00036EF7" w:rsidRPr="009B5EBE" w:rsidRDefault="00036EF7" w:rsidP="00036EF7">
                  <w:pPr>
                    <w:jc w:val="center"/>
                    <w:rPr>
                      <w:rFonts w:ascii="Times New Roman" w:hAnsi="Times New Roman" w:cs="Times New Roman"/>
                      <w:sz w:val="16"/>
                      <w:szCs w:val="16"/>
                    </w:rPr>
                  </w:pPr>
                </w:p>
              </w:tc>
              <w:tc>
                <w:tcPr>
                  <w:tcW w:w="401" w:type="dxa"/>
                  <w:shd w:val="clear" w:color="auto" w:fill="D9D9D9" w:themeFill="background1" w:themeFillShade="D9"/>
                </w:tcPr>
                <w:p w14:paraId="4B2DDE8D"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39BFAA21"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08EE84D7"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416ADF35"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3C01C973"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2B9A0869"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4F41707F"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1C859580"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4BC50F6A"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61ED2D06"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62E51F03" w14:textId="77777777" w:rsidR="00036EF7" w:rsidRPr="00241348" w:rsidRDefault="00036EF7" w:rsidP="00036EF7">
                  <w:pPr>
                    <w:jc w:val="center"/>
                    <w:rPr>
                      <w:rFonts w:ascii="Times New Roman" w:hAnsi="Times New Roman" w:cs="Times New Roman"/>
                      <w:sz w:val="16"/>
                      <w:szCs w:val="16"/>
                      <w:lang w:val="en-US"/>
                    </w:rPr>
                  </w:pPr>
                </w:p>
              </w:tc>
              <w:tc>
                <w:tcPr>
                  <w:tcW w:w="411" w:type="dxa"/>
                  <w:shd w:val="clear" w:color="auto" w:fill="D9D9D9" w:themeFill="background1" w:themeFillShade="D9"/>
                </w:tcPr>
                <w:p w14:paraId="0AE39C25"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58E9FA0D" w14:textId="77777777" w:rsidR="00036EF7" w:rsidRPr="00241348" w:rsidRDefault="00036EF7" w:rsidP="00036EF7">
                  <w:pPr>
                    <w:jc w:val="center"/>
                    <w:rPr>
                      <w:rFonts w:ascii="Times New Roman" w:hAnsi="Times New Roman" w:cs="Times New Roman"/>
                      <w:sz w:val="16"/>
                      <w:szCs w:val="16"/>
                      <w:lang w:val="en-US"/>
                    </w:rPr>
                  </w:pPr>
                </w:p>
              </w:tc>
              <w:tc>
                <w:tcPr>
                  <w:tcW w:w="399" w:type="dxa"/>
                  <w:shd w:val="clear" w:color="auto" w:fill="auto"/>
                </w:tcPr>
                <w:p w14:paraId="232AB0EC" w14:textId="77777777" w:rsidR="00036EF7" w:rsidRPr="00241348" w:rsidRDefault="00036EF7" w:rsidP="00036EF7">
                  <w:pPr>
                    <w:jc w:val="center"/>
                    <w:rPr>
                      <w:rFonts w:ascii="Times New Roman" w:hAnsi="Times New Roman" w:cs="Times New Roman"/>
                      <w:sz w:val="16"/>
                      <w:szCs w:val="16"/>
                      <w:lang w:val="en-US"/>
                    </w:rPr>
                  </w:pPr>
                </w:p>
              </w:tc>
              <w:tc>
                <w:tcPr>
                  <w:tcW w:w="394" w:type="dxa"/>
                </w:tcPr>
                <w:p w14:paraId="37D20C4D"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102EB327" w14:textId="77777777" w:rsidR="00036EF7" w:rsidRPr="00241348" w:rsidRDefault="00036EF7" w:rsidP="00036EF7">
                  <w:pPr>
                    <w:jc w:val="center"/>
                    <w:rPr>
                      <w:rFonts w:ascii="Times New Roman" w:hAnsi="Times New Roman" w:cs="Times New Roman"/>
                      <w:sz w:val="16"/>
                      <w:szCs w:val="16"/>
                      <w:lang w:val="en-US"/>
                    </w:rPr>
                  </w:pPr>
                </w:p>
              </w:tc>
            </w:tr>
            <w:tr w:rsidR="00036EF7" w:rsidRPr="00241348" w14:paraId="72FA38BF" w14:textId="77777777" w:rsidTr="00435124">
              <w:tc>
                <w:tcPr>
                  <w:tcW w:w="903" w:type="dxa"/>
                  <w:shd w:val="clear" w:color="auto" w:fill="FDE9D9" w:themeFill="accent6" w:themeFillTint="33"/>
                </w:tcPr>
                <w:p w14:paraId="6DD9CFA9" w14:textId="77777777" w:rsidR="00036EF7" w:rsidRPr="00241348" w:rsidRDefault="00036EF7" w:rsidP="00036EF7">
                  <w:pPr>
                    <w:jc w:val="both"/>
                    <w:rPr>
                      <w:rFonts w:ascii="Times New Roman" w:hAnsi="Times New Roman" w:cs="Times New Roman"/>
                      <w:sz w:val="16"/>
                      <w:szCs w:val="16"/>
                      <w:lang w:val="en-US"/>
                    </w:rPr>
                  </w:pPr>
                  <w:r w:rsidRPr="00E87770">
                    <w:rPr>
                      <w:rFonts w:ascii="Times New Roman" w:hAnsi="Times New Roman" w:cs="Times New Roman"/>
                      <w:sz w:val="16"/>
                      <w:szCs w:val="16"/>
                      <w:lang w:val="en-US"/>
                    </w:rPr>
                    <w:t xml:space="preserve">3.2. </w:t>
                  </w:r>
                </w:p>
              </w:tc>
              <w:tc>
                <w:tcPr>
                  <w:tcW w:w="384" w:type="dxa"/>
                </w:tcPr>
                <w:p w14:paraId="58008865" w14:textId="77777777" w:rsidR="00036EF7" w:rsidRPr="00241348" w:rsidRDefault="00036EF7" w:rsidP="00036EF7">
                  <w:pPr>
                    <w:jc w:val="center"/>
                    <w:rPr>
                      <w:rFonts w:ascii="Times New Roman" w:hAnsi="Times New Roman" w:cs="Times New Roman"/>
                      <w:sz w:val="16"/>
                      <w:szCs w:val="16"/>
                      <w:lang w:val="en-US"/>
                    </w:rPr>
                  </w:pPr>
                </w:p>
              </w:tc>
              <w:tc>
                <w:tcPr>
                  <w:tcW w:w="420" w:type="dxa"/>
                </w:tcPr>
                <w:p w14:paraId="277D6A3A"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1160FD41"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50E05358"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48EA41AB"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5DE609C5"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5D11C3CD"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0D916545"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1DE6BAB8"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3795F697"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0F21DF37"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217D0B16"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551F171E"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24C6C8B8"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790F071E" w14:textId="77777777" w:rsidR="00036EF7" w:rsidRPr="00241348" w:rsidRDefault="00036EF7" w:rsidP="00036EF7">
                  <w:pPr>
                    <w:jc w:val="center"/>
                    <w:rPr>
                      <w:rFonts w:ascii="Times New Roman" w:hAnsi="Times New Roman" w:cs="Times New Roman"/>
                      <w:sz w:val="16"/>
                      <w:szCs w:val="16"/>
                      <w:lang w:val="en-US"/>
                    </w:rPr>
                  </w:pPr>
                </w:p>
              </w:tc>
              <w:tc>
                <w:tcPr>
                  <w:tcW w:w="411" w:type="dxa"/>
                  <w:shd w:val="clear" w:color="auto" w:fill="D9D9D9" w:themeFill="background1" w:themeFillShade="D9"/>
                </w:tcPr>
                <w:p w14:paraId="509106A7"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auto"/>
                </w:tcPr>
                <w:p w14:paraId="66B91F24" w14:textId="77777777" w:rsidR="00036EF7" w:rsidRPr="00241348" w:rsidRDefault="00036EF7" w:rsidP="00036EF7">
                  <w:pPr>
                    <w:jc w:val="center"/>
                    <w:rPr>
                      <w:rFonts w:ascii="Times New Roman" w:hAnsi="Times New Roman" w:cs="Times New Roman"/>
                      <w:sz w:val="16"/>
                      <w:szCs w:val="16"/>
                      <w:lang w:val="en-US"/>
                    </w:rPr>
                  </w:pPr>
                </w:p>
              </w:tc>
              <w:tc>
                <w:tcPr>
                  <w:tcW w:w="399" w:type="dxa"/>
                  <w:shd w:val="clear" w:color="auto" w:fill="auto"/>
                </w:tcPr>
                <w:p w14:paraId="66EC8630" w14:textId="77777777" w:rsidR="00036EF7" w:rsidRPr="00241348" w:rsidRDefault="00036EF7" w:rsidP="00036EF7">
                  <w:pPr>
                    <w:jc w:val="center"/>
                    <w:rPr>
                      <w:rFonts w:ascii="Times New Roman" w:hAnsi="Times New Roman" w:cs="Times New Roman"/>
                      <w:sz w:val="16"/>
                      <w:szCs w:val="16"/>
                      <w:lang w:val="en-US"/>
                    </w:rPr>
                  </w:pPr>
                </w:p>
              </w:tc>
              <w:tc>
                <w:tcPr>
                  <w:tcW w:w="394" w:type="dxa"/>
                </w:tcPr>
                <w:p w14:paraId="1AE4BEAD"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5473A127" w14:textId="77777777" w:rsidR="00036EF7" w:rsidRPr="00241348" w:rsidRDefault="00036EF7" w:rsidP="00036EF7">
                  <w:pPr>
                    <w:jc w:val="center"/>
                    <w:rPr>
                      <w:rFonts w:ascii="Times New Roman" w:hAnsi="Times New Roman" w:cs="Times New Roman"/>
                      <w:sz w:val="16"/>
                      <w:szCs w:val="16"/>
                      <w:lang w:val="en-US"/>
                    </w:rPr>
                  </w:pPr>
                </w:p>
              </w:tc>
            </w:tr>
            <w:tr w:rsidR="00036EF7" w:rsidRPr="00241348" w14:paraId="1D5F7967" w14:textId="77777777" w:rsidTr="0044663B">
              <w:tc>
                <w:tcPr>
                  <w:tcW w:w="903" w:type="dxa"/>
                  <w:shd w:val="clear" w:color="auto" w:fill="FDE9D9" w:themeFill="accent6" w:themeFillTint="33"/>
                </w:tcPr>
                <w:p w14:paraId="045FE097" w14:textId="77777777" w:rsidR="00036EF7" w:rsidRPr="00241348" w:rsidRDefault="00036EF7" w:rsidP="00036EF7">
                  <w:pPr>
                    <w:jc w:val="both"/>
                    <w:rPr>
                      <w:rFonts w:ascii="Times New Roman" w:hAnsi="Times New Roman" w:cs="Times New Roman"/>
                      <w:sz w:val="16"/>
                      <w:szCs w:val="16"/>
                      <w:lang w:val="en-US"/>
                    </w:rPr>
                  </w:pPr>
                  <w:r w:rsidRPr="00B51C9F">
                    <w:rPr>
                      <w:rFonts w:ascii="Times New Roman" w:hAnsi="Times New Roman" w:cs="Times New Roman"/>
                      <w:sz w:val="16"/>
                      <w:szCs w:val="16"/>
                      <w:lang w:val="en-US"/>
                    </w:rPr>
                    <w:t xml:space="preserve">3.3. </w:t>
                  </w:r>
                </w:p>
              </w:tc>
              <w:tc>
                <w:tcPr>
                  <w:tcW w:w="384" w:type="dxa"/>
                </w:tcPr>
                <w:p w14:paraId="6D37B53A" w14:textId="77777777" w:rsidR="00036EF7" w:rsidRPr="00241348" w:rsidRDefault="00036EF7" w:rsidP="00036EF7">
                  <w:pPr>
                    <w:jc w:val="center"/>
                    <w:rPr>
                      <w:rFonts w:ascii="Times New Roman" w:hAnsi="Times New Roman" w:cs="Times New Roman"/>
                      <w:sz w:val="16"/>
                      <w:szCs w:val="16"/>
                      <w:lang w:val="en-US"/>
                    </w:rPr>
                  </w:pPr>
                </w:p>
              </w:tc>
              <w:tc>
                <w:tcPr>
                  <w:tcW w:w="420" w:type="dxa"/>
                  <w:shd w:val="clear" w:color="auto" w:fill="D9D9D9" w:themeFill="background1" w:themeFillShade="D9"/>
                </w:tcPr>
                <w:p w14:paraId="0D307101"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166BDB74"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42CEAB6F"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0D93A74E"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748616FA"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572C6523"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5D30D458"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354F0BA3"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347E339F"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688F3892"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597A22C3"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3D9477FE"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03CC2D5C"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4AF4CCFB" w14:textId="77777777" w:rsidR="00036EF7" w:rsidRPr="00241348" w:rsidRDefault="00036EF7" w:rsidP="00036EF7">
                  <w:pPr>
                    <w:jc w:val="center"/>
                    <w:rPr>
                      <w:rFonts w:ascii="Times New Roman" w:hAnsi="Times New Roman" w:cs="Times New Roman"/>
                      <w:sz w:val="16"/>
                      <w:szCs w:val="16"/>
                      <w:lang w:val="en-US"/>
                    </w:rPr>
                  </w:pPr>
                </w:p>
              </w:tc>
              <w:tc>
                <w:tcPr>
                  <w:tcW w:w="411" w:type="dxa"/>
                  <w:shd w:val="clear" w:color="auto" w:fill="D9D9D9" w:themeFill="background1" w:themeFillShade="D9"/>
                </w:tcPr>
                <w:p w14:paraId="2C68999E"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43DA1379" w14:textId="77777777" w:rsidR="00036EF7" w:rsidRPr="00241348" w:rsidRDefault="00036EF7" w:rsidP="00036EF7">
                  <w:pPr>
                    <w:jc w:val="center"/>
                    <w:rPr>
                      <w:rFonts w:ascii="Times New Roman" w:hAnsi="Times New Roman" w:cs="Times New Roman"/>
                      <w:sz w:val="16"/>
                      <w:szCs w:val="16"/>
                      <w:lang w:val="en-US"/>
                    </w:rPr>
                  </w:pPr>
                </w:p>
              </w:tc>
              <w:tc>
                <w:tcPr>
                  <w:tcW w:w="399" w:type="dxa"/>
                  <w:shd w:val="clear" w:color="auto" w:fill="auto"/>
                </w:tcPr>
                <w:p w14:paraId="2029D0F7" w14:textId="77777777" w:rsidR="00036EF7" w:rsidRPr="00241348" w:rsidRDefault="00036EF7" w:rsidP="00036EF7">
                  <w:pPr>
                    <w:jc w:val="center"/>
                    <w:rPr>
                      <w:rFonts w:ascii="Times New Roman" w:hAnsi="Times New Roman" w:cs="Times New Roman"/>
                      <w:sz w:val="16"/>
                      <w:szCs w:val="16"/>
                      <w:lang w:val="en-US"/>
                    </w:rPr>
                  </w:pPr>
                </w:p>
              </w:tc>
              <w:tc>
                <w:tcPr>
                  <w:tcW w:w="394" w:type="dxa"/>
                  <w:shd w:val="clear" w:color="auto" w:fill="auto"/>
                </w:tcPr>
                <w:p w14:paraId="7F425C8F"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2FE5C912" w14:textId="77777777" w:rsidR="00036EF7" w:rsidRPr="00241348" w:rsidRDefault="00036EF7" w:rsidP="00036EF7">
                  <w:pPr>
                    <w:jc w:val="center"/>
                    <w:rPr>
                      <w:rFonts w:ascii="Times New Roman" w:hAnsi="Times New Roman" w:cs="Times New Roman"/>
                      <w:sz w:val="16"/>
                      <w:szCs w:val="16"/>
                      <w:lang w:val="en-US"/>
                    </w:rPr>
                  </w:pPr>
                </w:p>
              </w:tc>
            </w:tr>
            <w:tr w:rsidR="00036EF7" w:rsidRPr="00241348" w14:paraId="664BAF0F" w14:textId="77777777" w:rsidTr="0044663B">
              <w:tc>
                <w:tcPr>
                  <w:tcW w:w="903" w:type="dxa"/>
                  <w:shd w:val="clear" w:color="auto" w:fill="FDE9D9" w:themeFill="accent6" w:themeFillTint="33"/>
                </w:tcPr>
                <w:p w14:paraId="72C1314B" w14:textId="77777777" w:rsidR="00036EF7" w:rsidRPr="00241348" w:rsidRDefault="00036EF7" w:rsidP="00036EF7">
                  <w:pPr>
                    <w:jc w:val="both"/>
                    <w:rPr>
                      <w:rFonts w:ascii="Times New Roman" w:hAnsi="Times New Roman" w:cs="Times New Roman"/>
                      <w:sz w:val="16"/>
                      <w:szCs w:val="16"/>
                      <w:lang w:val="en-US"/>
                    </w:rPr>
                  </w:pPr>
                  <w:r w:rsidRPr="00725674">
                    <w:rPr>
                      <w:rFonts w:ascii="Times New Roman" w:hAnsi="Times New Roman" w:cs="Times New Roman"/>
                      <w:sz w:val="16"/>
                      <w:szCs w:val="16"/>
                      <w:lang w:val="en-US"/>
                    </w:rPr>
                    <w:t xml:space="preserve">4.1. </w:t>
                  </w:r>
                </w:p>
              </w:tc>
              <w:tc>
                <w:tcPr>
                  <w:tcW w:w="384" w:type="dxa"/>
                </w:tcPr>
                <w:p w14:paraId="788CF205" w14:textId="77777777" w:rsidR="00036EF7" w:rsidRPr="00241348" w:rsidRDefault="00036EF7" w:rsidP="00036EF7">
                  <w:pPr>
                    <w:jc w:val="center"/>
                    <w:rPr>
                      <w:rFonts w:ascii="Times New Roman" w:hAnsi="Times New Roman" w:cs="Times New Roman"/>
                      <w:sz w:val="16"/>
                      <w:szCs w:val="16"/>
                      <w:lang w:val="en-US"/>
                    </w:rPr>
                  </w:pPr>
                </w:p>
              </w:tc>
              <w:tc>
                <w:tcPr>
                  <w:tcW w:w="420" w:type="dxa"/>
                </w:tcPr>
                <w:p w14:paraId="522D99AF"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3A6DAFC2"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1CFC6F82"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1B4E9363"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3079098B"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2E6FE566"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15C053F9"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0E6229BD"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66E7E690"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69851746"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31DAC706"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31120EEB"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1CD309C4"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672A671D" w14:textId="77777777" w:rsidR="00036EF7" w:rsidRPr="00241348" w:rsidRDefault="00036EF7" w:rsidP="00036EF7">
                  <w:pPr>
                    <w:jc w:val="center"/>
                    <w:rPr>
                      <w:rFonts w:ascii="Times New Roman" w:hAnsi="Times New Roman" w:cs="Times New Roman"/>
                      <w:sz w:val="16"/>
                      <w:szCs w:val="16"/>
                      <w:lang w:val="en-US"/>
                    </w:rPr>
                  </w:pPr>
                </w:p>
              </w:tc>
              <w:tc>
                <w:tcPr>
                  <w:tcW w:w="411" w:type="dxa"/>
                  <w:shd w:val="clear" w:color="auto" w:fill="D9D9D9" w:themeFill="background1" w:themeFillShade="D9"/>
                </w:tcPr>
                <w:p w14:paraId="60C2A53D"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FFFFFF" w:themeFill="background1"/>
                </w:tcPr>
                <w:p w14:paraId="264A0FF8" w14:textId="77777777" w:rsidR="00036EF7" w:rsidRPr="00241348" w:rsidRDefault="00036EF7" w:rsidP="00036EF7">
                  <w:pPr>
                    <w:jc w:val="center"/>
                    <w:rPr>
                      <w:rFonts w:ascii="Times New Roman" w:hAnsi="Times New Roman" w:cs="Times New Roman"/>
                      <w:sz w:val="16"/>
                      <w:szCs w:val="16"/>
                      <w:lang w:val="en-US"/>
                    </w:rPr>
                  </w:pPr>
                </w:p>
              </w:tc>
              <w:tc>
                <w:tcPr>
                  <w:tcW w:w="399" w:type="dxa"/>
                  <w:shd w:val="clear" w:color="auto" w:fill="auto"/>
                </w:tcPr>
                <w:p w14:paraId="02536BC6" w14:textId="77777777" w:rsidR="00036EF7" w:rsidRPr="00241348" w:rsidRDefault="00036EF7" w:rsidP="00036EF7">
                  <w:pPr>
                    <w:jc w:val="center"/>
                    <w:rPr>
                      <w:rFonts w:ascii="Times New Roman" w:hAnsi="Times New Roman" w:cs="Times New Roman"/>
                      <w:sz w:val="16"/>
                      <w:szCs w:val="16"/>
                      <w:lang w:val="en-US"/>
                    </w:rPr>
                  </w:pPr>
                </w:p>
              </w:tc>
              <w:tc>
                <w:tcPr>
                  <w:tcW w:w="394" w:type="dxa"/>
                </w:tcPr>
                <w:p w14:paraId="555A33C4"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0080BFD3" w14:textId="77777777" w:rsidR="00036EF7" w:rsidRPr="00241348" w:rsidRDefault="00036EF7" w:rsidP="00036EF7">
                  <w:pPr>
                    <w:jc w:val="center"/>
                    <w:rPr>
                      <w:rFonts w:ascii="Times New Roman" w:hAnsi="Times New Roman" w:cs="Times New Roman"/>
                      <w:sz w:val="16"/>
                      <w:szCs w:val="16"/>
                      <w:lang w:val="en-US"/>
                    </w:rPr>
                  </w:pPr>
                </w:p>
              </w:tc>
            </w:tr>
            <w:tr w:rsidR="00036EF7" w:rsidRPr="00241348" w14:paraId="0E8ACE88" w14:textId="77777777" w:rsidTr="0044663B">
              <w:tc>
                <w:tcPr>
                  <w:tcW w:w="903" w:type="dxa"/>
                  <w:shd w:val="clear" w:color="auto" w:fill="FDE9D9" w:themeFill="accent6" w:themeFillTint="33"/>
                </w:tcPr>
                <w:p w14:paraId="0087AF24" w14:textId="77777777" w:rsidR="00036EF7" w:rsidRPr="00725674" w:rsidRDefault="00036EF7" w:rsidP="00036EF7">
                  <w:pPr>
                    <w:jc w:val="both"/>
                    <w:rPr>
                      <w:rFonts w:ascii="Times New Roman" w:hAnsi="Times New Roman" w:cs="Times New Roman"/>
                      <w:sz w:val="16"/>
                      <w:szCs w:val="16"/>
                      <w:lang w:val="en-US"/>
                    </w:rPr>
                  </w:pPr>
                  <w:r w:rsidRPr="00F407F1">
                    <w:rPr>
                      <w:rFonts w:ascii="Times New Roman" w:hAnsi="Times New Roman" w:cs="Times New Roman"/>
                      <w:sz w:val="16"/>
                      <w:szCs w:val="16"/>
                      <w:lang w:val="en-US"/>
                    </w:rPr>
                    <w:t xml:space="preserve">4.2. </w:t>
                  </w:r>
                </w:p>
              </w:tc>
              <w:tc>
                <w:tcPr>
                  <w:tcW w:w="384" w:type="dxa"/>
                </w:tcPr>
                <w:p w14:paraId="7056AB1A" w14:textId="77777777" w:rsidR="00036EF7" w:rsidRPr="00241348" w:rsidRDefault="00036EF7" w:rsidP="00036EF7">
                  <w:pPr>
                    <w:jc w:val="center"/>
                    <w:rPr>
                      <w:rFonts w:ascii="Times New Roman" w:hAnsi="Times New Roman" w:cs="Times New Roman"/>
                      <w:sz w:val="16"/>
                      <w:szCs w:val="16"/>
                      <w:lang w:val="en-US"/>
                    </w:rPr>
                  </w:pPr>
                </w:p>
              </w:tc>
              <w:tc>
                <w:tcPr>
                  <w:tcW w:w="420" w:type="dxa"/>
                </w:tcPr>
                <w:p w14:paraId="47EEF909"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35D4A590"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39E0503E"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6D732693"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759BBD40"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72B83729"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202903ED"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60886174"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6B0F8E7B"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4EDA01BD"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1C818FA5"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31707A91"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431AED69"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7B129BB9" w14:textId="77777777" w:rsidR="00036EF7" w:rsidRPr="00241348" w:rsidRDefault="00036EF7" w:rsidP="00036EF7">
                  <w:pPr>
                    <w:jc w:val="center"/>
                    <w:rPr>
                      <w:rFonts w:ascii="Times New Roman" w:hAnsi="Times New Roman" w:cs="Times New Roman"/>
                      <w:sz w:val="16"/>
                      <w:szCs w:val="16"/>
                      <w:lang w:val="en-US"/>
                    </w:rPr>
                  </w:pPr>
                </w:p>
              </w:tc>
              <w:tc>
                <w:tcPr>
                  <w:tcW w:w="411" w:type="dxa"/>
                  <w:shd w:val="clear" w:color="auto" w:fill="D9D9D9" w:themeFill="background1" w:themeFillShade="D9"/>
                </w:tcPr>
                <w:p w14:paraId="13ED0C75"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FFFFFF" w:themeFill="background1"/>
                </w:tcPr>
                <w:p w14:paraId="0803AEE9" w14:textId="77777777" w:rsidR="00036EF7" w:rsidRPr="00241348" w:rsidRDefault="00036EF7" w:rsidP="00036EF7">
                  <w:pPr>
                    <w:jc w:val="center"/>
                    <w:rPr>
                      <w:rFonts w:ascii="Times New Roman" w:hAnsi="Times New Roman" w:cs="Times New Roman"/>
                      <w:sz w:val="16"/>
                      <w:szCs w:val="16"/>
                      <w:lang w:val="en-US"/>
                    </w:rPr>
                  </w:pPr>
                </w:p>
              </w:tc>
              <w:tc>
                <w:tcPr>
                  <w:tcW w:w="399" w:type="dxa"/>
                  <w:shd w:val="clear" w:color="auto" w:fill="auto"/>
                </w:tcPr>
                <w:p w14:paraId="1059E249" w14:textId="77777777" w:rsidR="00036EF7" w:rsidRPr="00241348" w:rsidRDefault="00036EF7" w:rsidP="00036EF7">
                  <w:pPr>
                    <w:jc w:val="center"/>
                    <w:rPr>
                      <w:rFonts w:ascii="Times New Roman" w:hAnsi="Times New Roman" w:cs="Times New Roman"/>
                      <w:sz w:val="16"/>
                      <w:szCs w:val="16"/>
                      <w:lang w:val="en-US"/>
                    </w:rPr>
                  </w:pPr>
                </w:p>
              </w:tc>
              <w:tc>
                <w:tcPr>
                  <w:tcW w:w="394" w:type="dxa"/>
                </w:tcPr>
                <w:p w14:paraId="634AC27D"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4614298D" w14:textId="77777777" w:rsidR="00036EF7" w:rsidRPr="00241348" w:rsidRDefault="00036EF7" w:rsidP="00036EF7">
                  <w:pPr>
                    <w:jc w:val="center"/>
                    <w:rPr>
                      <w:rFonts w:ascii="Times New Roman" w:hAnsi="Times New Roman" w:cs="Times New Roman"/>
                      <w:sz w:val="16"/>
                      <w:szCs w:val="16"/>
                      <w:lang w:val="en-US"/>
                    </w:rPr>
                  </w:pPr>
                </w:p>
              </w:tc>
            </w:tr>
            <w:tr w:rsidR="00036EF7" w:rsidRPr="00241348" w14:paraId="02FD6EB7" w14:textId="77777777" w:rsidTr="00026E61">
              <w:tc>
                <w:tcPr>
                  <w:tcW w:w="903" w:type="dxa"/>
                  <w:shd w:val="clear" w:color="auto" w:fill="FDE9D9" w:themeFill="accent6" w:themeFillTint="33"/>
                </w:tcPr>
                <w:p w14:paraId="7E21F5BE" w14:textId="77777777" w:rsidR="00036EF7" w:rsidRPr="00725674" w:rsidRDefault="00036EF7" w:rsidP="00036EF7">
                  <w:pPr>
                    <w:jc w:val="both"/>
                    <w:rPr>
                      <w:rFonts w:ascii="Times New Roman" w:hAnsi="Times New Roman" w:cs="Times New Roman"/>
                      <w:sz w:val="16"/>
                      <w:szCs w:val="16"/>
                      <w:lang w:val="en-US"/>
                    </w:rPr>
                  </w:pPr>
                  <w:r w:rsidRPr="00EC6F6D">
                    <w:rPr>
                      <w:rFonts w:ascii="Times New Roman" w:hAnsi="Times New Roman" w:cs="Times New Roman"/>
                      <w:sz w:val="16"/>
                      <w:szCs w:val="16"/>
                      <w:lang w:val="en-US"/>
                    </w:rPr>
                    <w:t xml:space="preserve">4.3. </w:t>
                  </w:r>
                </w:p>
              </w:tc>
              <w:tc>
                <w:tcPr>
                  <w:tcW w:w="384" w:type="dxa"/>
                </w:tcPr>
                <w:p w14:paraId="77DD7F05" w14:textId="77777777" w:rsidR="00036EF7" w:rsidRPr="00241348" w:rsidRDefault="00036EF7" w:rsidP="00036EF7">
                  <w:pPr>
                    <w:jc w:val="center"/>
                    <w:rPr>
                      <w:rFonts w:ascii="Times New Roman" w:hAnsi="Times New Roman" w:cs="Times New Roman"/>
                      <w:sz w:val="16"/>
                      <w:szCs w:val="16"/>
                      <w:lang w:val="en-US"/>
                    </w:rPr>
                  </w:pPr>
                </w:p>
              </w:tc>
              <w:tc>
                <w:tcPr>
                  <w:tcW w:w="420" w:type="dxa"/>
                  <w:shd w:val="clear" w:color="auto" w:fill="D9D9D9" w:themeFill="background1" w:themeFillShade="D9"/>
                </w:tcPr>
                <w:p w14:paraId="075ECC8B"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5AD9AF5C"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6C294578" w14:textId="77777777" w:rsidR="00036EF7" w:rsidRPr="007E1F8D" w:rsidRDefault="00036EF7" w:rsidP="00036EF7">
                  <w:pPr>
                    <w:spacing w:line="276" w:lineRule="auto"/>
                    <w:jc w:val="center"/>
                    <w:rPr>
                      <w:rFonts w:ascii="Times New Roman" w:hAnsi="Times New Roman" w:cs="Times New Roman"/>
                      <w:sz w:val="16"/>
                      <w:szCs w:val="16"/>
                      <w:lang w:val="en-US"/>
                    </w:rPr>
                  </w:pPr>
                </w:p>
              </w:tc>
              <w:tc>
                <w:tcPr>
                  <w:tcW w:w="401" w:type="dxa"/>
                  <w:shd w:val="clear" w:color="auto" w:fill="D9D9D9" w:themeFill="background1" w:themeFillShade="D9"/>
                </w:tcPr>
                <w:p w14:paraId="065AFFC3"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6C12965B"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201F1BF1"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647FC231"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1449C33F"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6CD3FB83"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1B64B033"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00C865AE"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22F16CD3"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22E89F5D"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5136876A" w14:textId="77777777" w:rsidR="00036EF7" w:rsidRPr="00241348" w:rsidRDefault="00036EF7" w:rsidP="00036EF7">
                  <w:pPr>
                    <w:jc w:val="center"/>
                    <w:rPr>
                      <w:rFonts w:ascii="Times New Roman" w:hAnsi="Times New Roman" w:cs="Times New Roman"/>
                      <w:sz w:val="16"/>
                      <w:szCs w:val="16"/>
                      <w:lang w:val="en-US"/>
                    </w:rPr>
                  </w:pPr>
                </w:p>
              </w:tc>
              <w:tc>
                <w:tcPr>
                  <w:tcW w:w="411" w:type="dxa"/>
                  <w:shd w:val="clear" w:color="auto" w:fill="D9D9D9" w:themeFill="background1" w:themeFillShade="D9"/>
                </w:tcPr>
                <w:p w14:paraId="33F5E0C9"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7ABD5722" w14:textId="77777777" w:rsidR="00036EF7" w:rsidRPr="00241348" w:rsidRDefault="00036EF7" w:rsidP="00036EF7">
                  <w:pPr>
                    <w:jc w:val="center"/>
                    <w:rPr>
                      <w:rFonts w:ascii="Times New Roman" w:hAnsi="Times New Roman" w:cs="Times New Roman"/>
                      <w:sz w:val="16"/>
                      <w:szCs w:val="16"/>
                      <w:lang w:val="en-US"/>
                    </w:rPr>
                  </w:pPr>
                </w:p>
              </w:tc>
              <w:tc>
                <w:tcPr>
                  <w:tcW w:w="399" w:type="dxa"/>
                  <w:shd w:val="clear" w:color="auto" w:fill="auto"/>
                </w:tcPr>
                <w:p w14:paraId="4CC4A491" w14:textId="77777777" w:rsidR="00036EF7" w:rsidRPr="00241348" w:rsidRDefault="00036EF7" w:rsidP="00036EF7">
                  <w:pPr>
                    <w:jc w:val="center"/>
                    <w:rPr>
                      <w:rFonts w:ascii="Times New Roman" w:hAnsi="Times New Roman" w:cs="Times New Roman"/>
                      <w:sz w:val="16"/>
                      <w:szCs w:val="16"/>
                      <w:lang w:val="en-US"/>
                    </w:rPr>
                  </w:pPr>
                </w:p>
              </w:tc>
              <w:tc>
                <w:tcPr>
                  <w:tcW w:w="394" w:type="dxa"/>
                  <w:shd w:val="clear" w:color="auto" w:fill="auto"/>
                </w:tcPr>
                <w:p w14:paraId="2EEA3A33"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auto"/>
                </w:tcPr>
                <w:p w14:paraId="6AC7831A" w14:textId="77777777" w:rsidR="00036EF7" w:rsidRPr="00241348" w:rsidRDefault="00036EF7" w:rsidP="00036EF7">
                  <w:pPr>
                    <w:jc w:val="center"/>
                    <w:rPr>
                      <w:rFonts w:ascii="Times New Roman" w:hAnsi="Times New Roman" w:cs="Times New Roman"/>
                      <w:sz w:val="16"/>
                      <w:szCs w:val="16"/>
                      <w:lang w:val="en-US"/>
                    </w:rPr>
                  </w:pPr>
                </w:p>
              </w:tc>
            </w:tr>
            <w:tr w:rsidR="00036EF7" w:rsidRPr="00241348" w14:paraId="7644275F" w14:textId="77777777" w:rsidTr="007E1F8D">
              <w:tc>
                <w:tcPr>
                  <w:tcW w:w="903" w:type="dxa"/>
                  <w:shd w:val="clear" w:color="auto" w:fill="FDE9D9" w:themeFill="accent6" w:themeFillTint="33"/>
                </w:tcPr>
                <w:p w14:paraId="4F8D161B" w14:textId="77777777" w:rsidR="00036EF7" w:rsidRPr="00D02E89" w:rsidRDefault="00036EF7" w:rsidP="00036EF7">
                  <w:pPr>
                    <w:jc w:val="both"/>
                    <w:rPr>
                      <w:rFonts w:ascii="Times New Roman" w:hAnsi="Times New Roman" w:cs="Times New Roman"/>
                      <w:sz w:val="16"/>
                      <w:szCs w:val="16"/>
                      <w:lang w:val="en-US"/>
                    </w:rPr>
                  </w:pPr>
                  <w:r w:rsidRPr="00B05BDC">
                    <w:rPr>
                      <w:rFonts w:ascii="Times New Roman" w:hAnsi="Times New Roman" w:cs="Times New Roman"/>
                      <w:sz w:val="16"/>
                      <w:szCs w:val="16"/>
                      <w:lang w:val="en-US"/>
                    </w:rPr>
                    <w:t xml:space="preserve">5.1. </w:t>
                  </w:r>
                </w:p>
              </w:tc>
              <w:tc>
                <w:tcPr>
                  <w:tcW w:w="384" w:type="dxa"/>
                </w:tcPr>
                <w:p w14:paraId="7295E96B" w14:textId="77777777" w:rsidR="00036EF7" w:rsidRPr="00241348" w:rsidRDefault="00036EF7" w:rsidP="00036EF7">
                  <w:pPr>
                    <w:jc w:val="center"/>
                    <w:rPr>
                      <w:rFonts w:ascii="Times New Roman" w:hAnsi="Times New Roman" w:cs="Times New Roman"/>
                      <w:sz w:val="16"/>
                      <w:szCs w:val="16"/>
                      <w:lang w:val="en-US"/>
                    </w:rPr>
                  </w:pPr>
                </w:p>
              </w:tc>
              <w:tc>
                <w:tcPr>
                  <w:tcW w:w="420" w:type="dxa"/>
                </w:tcPr>
                <w:p w14:paraId="7C289605" w14:textId="77777777" w:rsidR="00036EF7" w:rsidRPr="00241348" w:rsidRDefault="00036EF7" w:rsidP="00036EF7">
                  <w:pPr>
                    <w:jc w:val="center"/>
                    <w:rPr>
                      <w:rFonts w:ascii="Times New Roman" w:hAnsi="Times New Roman" w:cs="Times New Roman"/>
                      <w:sz w:val="16"/>
                      <w:szCs w:val="16"/>
                      <w:lang w:val="en-US"/>
                    </w:rPr>
                  </w:pPr>
                </w:p>
              </w:tc>
              <w:tc>
                <w:tcPr>
                  <w:tcW w:w="401" w:type="dxa"/>
                </w:tcPr>
                <w:p w14:paraId="3C102A3D"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533139B4" w14:textId="77777777" w:rsidR="00036EF7" w:rsidRPr="00241348" w:rsidRDefault="00036EF7" w:rsidP="00027744">
                  <w:pPr>
                    <w:rPr>
                      <w:rFonts w:ascii="Times New Roman" w:hAnsi="Times New Roman" w:cs="Times New Roman"/>
                      <w:sz w:val="16"/>
                      <w:szCs w:val="16"/>
                      <w:lang w:val="en-US"/>
                    </w:rPr>
                  </w:pPr>
                </w:p>
              </w:tc>
              <w:tc>
                <w:tcPr>
                  <w:tcW w:w="401" w:type="dxa"/>
                  <w:shd w:val="clear" w:color="auto" w:fill="D9D9D9" w:themeFill="background1" w:themeFillShade="D9"/>
                </w:tcPr>
                <w:p w14:paraId="227F9C8A" w14:textId="77777777" w:rsidR="00036EF7" w:rsidRPr="00241348" w:rsidRDefault="00036EF7" w:rsidP="00027744">
                  <w:pPr>
                    <w:rPr>
                      <w:rFonts w:ascii="Times New Roman" w:hAnsi="Times New Roman" w:cs="Times New Roman"/>
                      <w:sz w:val="16"/>
                      <w:szCs w:val="16"/>
                      <w:lang w:val="en-US"/>
                    </w:rPr>
                  </w:pPr>
                </w:p>
              </w:tc>
              <w:tc>
                <w:tcPr>
                  <w:tcW w:w="400" w:type="dxa"/>
                  <w:shd w:val="clear" w:color="auto" w:fill="D9D9D9" w:themeFill="background1" w:themeFillShade="D9"/>
                </w:tcPr>
                <w:p w14:paraId="14A50E10" w14:textId="77777777" w:rsidR="00036EF7" w:rsidRPr="00241348" w:rsidRDefault="00036EF7" w:rsidP="00027744">
                  <w:pPr>
                    <w:rPr>
                      <w:rFonts w:ascii="Times New Roman" w:hAnsi="Times New Roman" w:cs="Times New Roman"/>
                      <w:sz w:val="16"/>
                      <w:szCs w:val="16"/>
                      <w:lang w:val="en-US"/>
                    </w:rPr>
                  </w:pPr>
                </w:p>
              </w:tc>
              <w:tc>
                <w:tcPr>
                  <w:tcW w:w="400" w:type="dxa"/>
                  <w:shd w:val="clear" w:color="auto" w:fill="D9D9D9" w:themeFill="background1" w:themeFillShade="D9"/>
                </w:tcPr>
                <w:p w14:paraId="1B192A92" w14:textId="77777777" w:rsidR="00036EF7" w:rsidRPr="00241348" w:rsidRDefault="00036EF7" w:rsidP="00027744">
                  <w:pPr>
                    <w:rPr>
                      <w:rFonts w:ascii="Times New Roman" w:hAnsi="Times New Roman" w:cs="Times New Roman"/>
                      <w:sz w:val="16"/>
                      <w:szCs w:val="16"/>
                      <w:lang w:val="en-US"/>
                    </w:rPr>
                  </w:pPr>
                </w:p>
              </w:tc>
              <w:tc>
                <w:tcPr>
                  <w:tcW w:w="400" w:type="dxa"/>
                </w:tcPr>
                <w:p w14:paraId="2F82E3B4" w14:textId="77777777" w:rsidR="00036EF7" w:rsidRPr="00241348" w:rsidRDefault="00036EF7" w:rsidP="00036EF7">
                  <w:pPr>
                    <w:jc w:val="center"/>
                    <w:rPr>
                      <w:rFonts w:ascii="Times New Roman" w:hAnsi="Times New Roman" w:cs="Times New Roman"/>
                      <w:sz w:val="16"/>
                      <w:szCs w:val="16"/>
                      <w:lang w:val="en-US"/>
                    </w:rPr>
                  </w:pPr>
                </w:p>
              </w:tc>
              <w:tc>
                <w:tcPr>
                  <w:tcW w:w="401" w:type="dxa"/>
                </w:tcPr>
                <w:p w14:paraId="4B6640DD"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2CD33B46"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FFFFFF" w:themeFill="background1"/>
                </w:tcPr>
                <w:p w14:paraId="3E95AFDE" w14:textId="77777777" w:rsidR="00036EF7" w:rsidRPr="00241348" w:rsidRDefault="00036EF7" w:rsidP="00027744">
                  <w:pPr>
                    <w:rPr>
                      <w:rFonts w:ascii="Times New Roman" w:hAnsi="Times New Roman" w:cs="Times New Roman"/>
                      <w:sz w:val="16"/>
                      <w:szCs w:val="16"/>
                      <w:lang w:val="en-US"/>
                    </w:rPr>
                  </w:pPr>
                </w:p>
              </w:tc>
              <w:tc>
                <w:tcPr>
                  <w:tcW w:w="400" w:type="dxa"/>
                  <w:shd w:val="clear" w:color="auto" w:fill="FFFFFF" w:themeFill="background1"/>
                </w:tcPr>
                <w:p w14:paraId="0F889D69"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FFFFFF" w:themeFill="background1"/>
                </w:tcPr>
                <w:p w14:paraId="070B7CBF"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FFFFFF" w:themeFill="background1"/>
                </w:tcPr>
                <w:p w14:paraId="5EBD5652"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20A564B4" w14:textId="77777777" w:rsidR="00036EF7" w:rsidRPr="00241348" w:rsidRDefault="00036EF7" w:rsidP="00036EF7">
                  <w:pPr>
                    <w:jc w:val="center"/>
                    <w:rPr>
                      <w:rFonts w:ascii="Times New Roman" w:hAnsi="Times New Roman" w:cs="Times New Roman"/>
                      <w:sz w:val="16"/>
                      <w:szCs w:val="16"/>
                      <w:lang w:val="en-US"/>
                    </w:rPr>
                  </w:pPr>
                </w:p>
              </w:tc>
              <w:tc>
                <w:tcPr>
                  <w:tcW w:w="411" w:type="dxa"/>
                </w:tcPr>
                <w:p w14:paraId="041509DD"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362806CD" w14:textId="77777777" w:rsidR="00036EF7" w:rsidRPr="00241348" w:rsidRDefault="00036EF7" w:rsidP="00036EF7">
                  <w:pPr>
                    <w:jc w:val="center"/>
                    <w:rPr>
                      <w:rFonts w:ascii="Times New Roman" w:hAnsi="Times New Roman" w:cs="Times New Roman"/>
                      <w:sz w:val="16"/>
                      <w:szCs w:val="16"/>
                      <w:lang w:val="en-US"/>
                    </w:rPr>
                  </w:pPr>
                </w:p>
              </w:tc>
              <w:tc>
                <w:tcPr>
                  <w:tcW w:w="399" w:type="dxa"/>
                </w:tcPr>
                <w:p w14:paraId="3899C40F" w14:textId="77777777" w:rsidR="00036EF7" w:rsidRPr="00241348" w:rsidRDefault="00036EF7" w:rsidP="00036EF7">
                  <w:pPr>
                    <w:jc w:val="center"/>
                    <w:rPr>
                      <w:rFonts w:ascii="Times New Roman" w:hAnsi="Times New Roman" w:cs="Times New Roman"/>
                      <w:sz w:val="16"/>
                      <w:szCs w:val="16"/>
                      <w:lang w:val="en-US"/>
                    </w:rPr>
                  </w:pPr>
                </w:p>
              </w:tc>
              <w:tc>
                <w:tcPr>
                  <w:tcW w:w="394" w:type="dxa"/>
                </w:tcPr>
                <w:p w14:paraId="7E034844"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5EF84A38" w14:textId="77777777" w:rsidR="00036EF7" w:rsidRPr="00241348" w:rsidRDefault="00036EF7" w:rsidP="00036EF7">
                  <w:pPr>
                    <w:jc w:val="center"/>
                    <w:rPr>
                      <w:rFonts w:ascii="Times New Roman" w:hAnsi="Times New Roman" w:cs="Times New Roman"/>
                      <w:sz w:val="16"/>
                      <w:szCs w:val="16"/>
                      <w:lang w:val="en-US"/>
                    </w:rPr>
                  </w:pPr>
                </w:p>
              </w:tc>
            </w:tr>
            <w:tr w:rsidR="000A4CB5" w:rsidRPr="00241348" w14:paraId="6116DDEC" w14:textId="77777777" w:rsidTr="007E1F8D">
              <w:tc>
                <w:tcPr>
                  <w:tcW w:w="903" w:type="dxa"/>
                  <w:shd w:val="clear" w:color="auto" w:fill="FDE9D9" w:themeFill="accent6" w:themeFillTint="33"/>
                </w:tcPr>
                <w:p w14:paraId="2FA77055" w14:textId="77777777" w:rsidR="00036EF7" w:rsidRPr="00D02E89" w:rsidRDefault="00036EF7" w:rsidP="00036EF7">
                  <w:pPr>
                    <w:jc w:val="both"/>
                    <w:rPr>
                      <w:rFonts w:ascii="Times New Roman" w:hAnsi="Times New Roman" w:cs="Times New Roman"/>
                      <w:sz w:val="16"/>
                      <w:szCs w:val="16"/>
                      <w:lang w:val="en-US"/>
                    </w:rPr>
                  </w:pPr>
                  <w:r w:rsidRPr="000107A7">
                    <w:rPr>
                      <w:rFonts w:ascii="Times New Roman" w:hAnsi="Times New Roman" w:cs="Times New Roman"/>
                      <w:sz w:val="16"/>
                      <w:szCs w:val="16"/>
                      <w:lang w:val="en-US"/>
                    </w:rPr>
                    <w:t xml:space="preserve">5.2. </w:t>
                  </w:r>
                </w:p>
              </w:tc>
              <w:tc>
                <w:tcPr>
                  <w:tcW w:w="384" w:type="dxa"/>
                </w:tcPr>
                <w:p w14:paraId="458D3A6E" w14:textId="77777777" w:rsidR="00036EF7" w:rsidRPr="00241348" w:rsidRDefault="00036EF7" w:rsidP="00036EF7">
                  <w:pPr>
                    <w:jc w:val="center"/>
                    <w:rPr>
                      <w:rFonts w:ascii="Times New Roman" w:hAnsi="Times New Roman" w:cs="Times New Roman"/>
                      <w:sz w:val="16"/>
                      <w:szCs w:val="16"/>
                      <w:lang w:val="en-US"/>
                    </w:rPr>
                  </w:pPr>
                </w:p>
              </w:tc>
              <w:tc>
                <w:tcPr>
                  <w:tcW w:w="420" w:type="dxa"/>
                </w:tcPr>
                <w:p w14:paraId="560767B9" w14:textId="77777777" w:rsidR="00036EF7" w:rsidRPr="00241348" w:rsidRDefault="00036EF7" w:rsidP="00036EF7">
                  <w:pPr>
                    <w:jc w:val="center"/>
                    <w:rPr>
                      <w:rFonts w:ascii="Times New Roman" w:hAnsi="Times New Roman" w:cs="Times New Roman"/>
                      <w:sz w:val="16"/>
                      <w:szCs w:val="16"/>
                      <w:lang w:val="en-US"/>
                    </w:rPr>
                  </w:pPr>
                </w:p>
              </w:tc>
              <w:tc>
                <w:tcPr>
                  <w:tcW w:w="401" w:type="dxa"/>
                </w:tcPr>
                <w:p w14:paraId="75231545"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FFFFFF" w:themeFill="background1"/>
                </w:tcPr>
                <w:p w14:paraId="5DF3FBF0"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FFFFFF" w:themeFill="background1"/>
                </w:tcPr>
                <w:p w14:paraId="74151A66"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FFFFFF" w:themeFill="background1"/>
                </w:tcPr>
                <w:p w14:paraId="68A2B0B1"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FFFFFF" w:themeFill="background1"/>
                </w:tcPr>
                <w:p w14:paraId="44615709"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6554BADA" w14:textId="77777777" w:rsidR="00036EF7" w:rsidRPr="009E44CF" w:rsidRDefault="00036EF7" w:rsidP="00036EF7">
                  <w:pPr>
                    <w:jc w:val="center"/>
                    <w:rPr>
                      <w:rFonts w:ascii="Times New Roman" w:hAnsi="Times New Roman" w:cs="Times New Roman"/>
                      <w:sz w:val="16"/>
                      <w:szCs w:val="16"/>
                      <w:lang w:val="en-US"/>
                    </w:rPr>
                  </w:pPr>
                </w:p>
              </w:tc>
              <w:tc>
                <w:tcPr>
                  <w:tcW w:w="401" w:type="dxa"/>
                  <w:shd w:val="clear" w:color="auto" w:fill="FFFFFF" w:themeFill="background1"/>
                </w:tcPr>
                <w:p w14:paraId="7E911B14"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FFFFFF" w:themeFill="background1"/>
                </w:tcPr>
                <w:p w14:paraId="1FC8BEF6"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FFFFFF" w:themeFill="background1"/>
                </w:tcPr>
                <w:p w14:paraId="73529E09"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D9D9D9" w:themeFill="background1" w:themeFillShade="D9"/>
                </w:tcPr>
                <w:p w14:paraId="4385A1BA"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FFFFFF" w:themeFill="background1"/>
                </w:tcPr>
                <w:p w14:paraId="789A2A1E"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FFFFFF" w:themeFill="background1"/>
                </w:tcPr>
                <w:p w14:paraId="4D4EC106"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FFFFFF" w:themeFill="background1"/>
                </w:tcPr>
                <w:p w14:paraId="614FF465" w14:textId="77777777" w:rsidR="00036EF7" w:rsidRPr="00241348" w:rsidRDefault="00036EF7" w:rsidP="00036EF7">
                  <w:pPr>
                    <w:jc w:val="center"/>
                    <w:rPr>
                      <w:rFonts w:ascii="Times New Roman" w:hAnsi="Times New Roman" w:cs="Times New Roman"/>
                      <w:sz w:val="16"/>
                      <w:szCs w:val="16"/>
                      <w:lang w:val="en-US"/>
                    </w:rPr>
                  </w:pPr>
                </w:p>
              </w:tc>
              <w:tc>
                <w:tcPr>
                  <w:tcW w:w="411" w:type="dxa"/>
                  <w:shd w:val="clear" w:color="auto" w:fill="FFFFFF" w:themeFill="background1"/>
                </w:tcPr>
                <w:p w14:paraId="535FB223"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1941D4B0" w14:textId="77777777" w:rsidR="00036EF7" w:rsidRPr="00241348" w:rsidRDefault="00036EF7" w:rsidP="00036EF7">
                  <w:pPr>
                    <w:jc w:val="center"/>
                    <w:rPr>
                      <w:rFonts w:ascii="Times New Roman" w:hAnsi="Times New Roman" w:cs="Times New Roman"/>
                      <w:sz w:val="16"/>
                      <w:szCs w:val="16"/>
                      <w:lang w:val="en-US"/>
                    </w:rPr>
                  </w:pPr>
                </w:p>
              </w:tc>
              <w:tc>
                <w:tcPr>
                  <w:tcW w:w="399" w:type="dxa"/>
                </w:tcPr>
                <w:p w14:paraId="0D8933F7" w14:textId="77777777" w:rsidR="00036EF7" w:rsidRPr="00241348" w:rsidRDefault="00036EF7" w:rsidP="00036EF7">
                  <w:pPr>
                    <w:jc w:val="center"/>
                    <w:rPr>
                      <w:rFonts w:ascii="Times New Roman" w:hAnsi="Times New Roman" w:cs="Times New Roman"/>
                      <w:sz w:val="16"/>
                      <w:szCs w:val="16"/>
                      <w:lang w:val="en-US"/>
                    </w:rPr>
                  </w:pPr>
                </w:p>
              </w:tc>
              <w:tc>
                <w:tcPr>
                  <w:tcW w:w="394" w:type="dxa"/>
                </w:tcPr>
                <w:p w14:paraId="639B3DE8"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55A2C971" w14:textId="77777777" w:rsidR="00036EF7" w:rsidRPr="00241348" w:rsidRDefault="00036EF7" w:rsidP="00036EF7">
                  <w:pPr>
                    <w:jc w:val="center"/>
                    <w:rPr>
                      <w:rFonts w:ascii="Times New Roman" w:hAnsi="Times New Roman" w:cs="Times New Roman"/>
                      <w:sz w:val="16"/>
                      <w:szCs w:val="16"/>
                      <w:lang w:val="en-US"/>
                    </w:rPr>
                  </w:pPr>
                </w:p>
              </w:tc>
            </w:tr>
            <w:tr w:rsidR="00036EF7" w:rsidRPr="00241348" w14:paraId="49CC8DD5" w14:textId="77777777" w:rsidTr="007E1F8D">
              <w:tc>
                <w:tcPr>
                  <w:tcW w:w="903" w:type="dxa"/>
                  <w:shd w:val="clear" w:color="auto" w:fill="FDE9D9" w:themeFill="accent6" w:themeFillTint="33"/>
                </w:tcPr>
                <w:p w14:paraId="454C99D3" w14:textId="77777777" w:rsidR="00036EF7" w:rsidRPr="00844858" w:rsidRDefault="00036EF7" w:rsidP="00036EF7">
                  <w:pPr>
                    <w:jc w:val="both"/>
                    <w:rPr>
                      <w:rFonts w:ascii="Times New Roman" w:hAnsi="Times New Roman" w:cs="Times New Roman"/>
                      <w:sz w:val="16"/>
                      <w:szCs w:val="16"/>
                    </w:rPr>
                  </w:pPr>
                  <w:r w:rsidRPr="008541F2">
                    <w:rPr>
                      <w:rFonts w:ascii="Times New Roman" w:hAnsi="Times New Roman" w:cs="Times New Roman"/>
                      <w:sz w:val="16"/>
                      <w:szCs w:val="16"/>
                      <w:lang w:val="en-US"/>
                    </w:rPr>
                    <w:t>5.3.</w:t>
                  </w:r>
                </w:p>
              </w:tc>
              <w:tc>
                <w:tcPr>
                  <w:tcW w:w="384" w:type="dxa"/>
                </w:tcPr>
                <w:p w14:paraId="26B60D7E" w14:textId="77777777" w:rsidR="00036EF7" w:rsidRPr="00241348" w:rsidRDefault="00036EF7" w:rsidP="00036EF7">
                  <w:pPr>
                    <w:jc w:val="center"/>
                    <w:rPr>
                      <w:rFonts w:ascii="Times New Roman" w:hAnsi="Times New Roman" w:cs="Times New Roman"/>
                      <w:sz w:val="16"/>
                      <w:szCs w:val="16"/>
                      <w:lang w:val="en-US"/>
                    </w:rPr>
                  </w:pPr>
                </w:p>
              </w:tc>
              <w:tc>
                <w:tcPr>
                  <w:tcW w:w="420" w:type="dxa"/>
                </w:tcPr>
                <w:p w14:paraId="31306C72" w14:textId="77777777" w:rsidR="00036EF7" w:rsidRPr="00241348" w:rsidRDefault="00036EF7" w:rsidP="00036EF7">
                  <w:pPr>
                    <w:jc w:val="center"/>
                    <w:rPr>
                      <w:rFonts w:ascii="Times New Roman" w:hAnsi="Times New Roman" w:cs="Times New Roman"/>
                      <w:sz w:val="16"/>
                      <w:szCs w:val="16"/>
                      <w:lang w:val="en-US"/>
                    </w:rPr>
                  </w:pPr>
                </w:p>
              </w:tc>
              <w:tc>
                <w:tcPr>
                  <w:tcW w:w="401" w:type="dxa"/>
                </w:tcPr>
                <w:p w14:paraId="29BD2ACE" w14:textId="77777777" w:rsidR="00036EF7" w:rsidRPr="00241348" w:rsidRDefault="00036EF7" w:rsidP="00036EF7">
                  <w:pPr>
                    <w:jc w:val="center"/>
                    <w:rPr>
                      <w:rFonts w:ascii="Times New Roman" w:hAnsi="Times New Roman" w:cs="Times New Roman"/>
                      <w:sz w:val="16"/>
                      <w:szCs w:val="16"/>
                      <w:lang w:val="en-US"/>
                    </w:rPr>
                  </w:pPr>
                </w:p>
              </w:tc>
              <w:tc>
                <w:tcPr>
                  <w:tcW w:w="401" w:type="dxa"/>
                </w:tcPr>
                <w:p w14:paraId="591FEF0F" w14:textId="77777777" w:rsidR="00036EF7" w:rsidRPr="00241348" w:rsidRDefault="00036EF7" w:rsidP="00036EF7">
                  <w:pPr>
                    <w:jc w:val="center"/>
                    <w:rPr>
                      <w:rFonts w:ascii="Times New Roman" w:hAnsi="Times New Roman" w:cs="Times New Roman"/>
                      <w:sz w:val="16"/>
                      <w:szCs w:val="16"/>
                      <w:lang w:val="en-US"/>
                    </w:rPr>
                  </w:pPr>
                </w:p>
              </w:tc>
              <w:tc>
                <w:tcPr>
                  <w:tcW w:w="401" w:type="dxa"/>
                </w:tcPr>
                <w:p w14:paraId="39230491"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0F72FAA8"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4906B98D"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FFFFFF" w:themeFill="background1"/>
                </w:tcPr>
                <w:p w14:paraId="22092ABE"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54B990AA" w14:textId="77777777" w:rsidR="00036EF7" w:rsidRPr="00241348" w:rsidRDefault="00036EF7" w:rsidP="007E1F8D">
                  <w:pPr>
                    <w:rPr>
                      <w:rFonts w:ascii="Times New Roman" w:hAnsi="Times New Roman" w:cs="Times New Roman"/>
                      <w:sz w:val="16"/>
                      <w:szCs w:val="16"/>
                      <w:lang w:val="en-US"/>
                    </w:rPr>
                  </w:pPr>
                </w:p>
              </w:tc>
              <w:tc>
                <w:tcPr>
                  <w:tcW w:w="400" w:type="dxa"/>
                </w:tcPr>
                <w:p w14:paraId="6DEFBB32"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20ED6D85"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FFFFFF" w:themeFill="background1"/>
                </w:tcPr>
                <w:p w14:paraId="4F8F40A3" w14:textId="77777777" w:rsidR="00036EF7" w:rsidRPr="00241348" w:rsidRDefault="00036EF7" w:rsidP="00036EF7">
                  <w:pPr>
                    <w:jc w:val="center"/>
                    <w:rPr>
                      <w:rFonts w:ascii="Times New Roman" w:hAnsi="Times New Roman" w:cs="Times New Roman"/>
                      <w:sz w:val="16"/>
                      <w:szCs w:val="16"/>
                      <w:lang w:val="en-US"/>
                    </w:rPr>
                  </w:pPr>
                </w:p>
              </w:tc>
              <w:tc>
                <w:tcPr>
                  <w:tcW w:w="401" w:type="dxa"/>
                  <w:shd w:val="clear" w:color="auto" w:fill="D9D9D9" w:themeFill="background1" w:themeFillShade="D9"/>
                </w:tcPr>
                <w:p w14:paraId="45AF8555"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FFFFFF" w:themeFill="background1"/>
                </w:tcPr>
                <w:p w14:paraId="799AD8BB"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FFFFFF" w:themeFill="background1"/>
                </w:tcPr>
                <w:p w14:paraId="44796961" w14:textId="77777777" w:rsidR="00036EF7" w:rsidRPr="00241348" w:rsidRDefault="00036EF7" w:rsidP="00036EF7">
                  <w:pPr>
                    <w:jc w:val="center"/>
                    <w:rPr>
                      <w:rFonts w:ascii="Times New Roman" w:hAnsi="Times New Roman" w:cs="Times New Roman"/>
                      <w:sz w:val="16"/>
                      <w:szCs w:val="16"/>
                      <w:lang w:val="en-US"/>
                    </w:rPr>
                  </w:pPr>
                </w:p>
              </w:tc>
              <w:tc>
                <w:tcPr>
                  <w:tcW w:w="411" w:type="dxa"/>
                  <w:shd w:val="clear" w:color="auto" w:fill="FFFFFF" w:themeFill="background1"/>
                </w:tcPr>
                <w:p w14:paraId="00CC9A5D" w14:textId="77777777" w:rsidR="00036EF7" w:rsidRPr="00241348" w:rsidRDefault="00036EF7" w:rsidP="00036EF7">
                  <w:pPr>
                    <w:jc w:val="center"/>
                    <w:rPr>
                      <w:rFonts w:ascii="Times New Roman" w:hAnsi="Times New Roman" w:cs="Times New Roman"/>
                      <w:sz w:val="16"/>
                      <w:szCs w:val="16"/>
                      <w:lang w:val="en-US"/>
                    </w:rPr>
                  </w:pPr>
                </w:p>
              </w:tc>
              <w:tc>
                <w:tcPr>
                  <w:tcW w:w="400" w:type="dxa"/>
                  <w:shd w:val="clear" w:color="auto" w:fill="auto"/>
                </w:tcPr>
                <w:p w14:paraId="444A9962" w14:textId="77777777" w:rsidR="00036EF7" w:rsidRPr="00241348" w:rsidRDefault="00036EF7" w:rsidP="00036EF7">
                  <w:pPr>
                    <w:jc w:val="center"/>
                    <w:rPr>
                      <w:rFonts w:ascii="Times New Roman" w:hAnsi="Times New Roman" w:cs="Times New Roman"/>
                      <w:sz w:val="16"/>
                      <w:szCs w:val="16"/>
                      <w:lang w:val="en-US"/>
                    </w:rPr>
                  </w:pPr>
                </w:p>
              </w:tc>
              <w:tc>
                <w:tcPr>
                  <w:tcW w:w="399" w:type="dxa"/>
                </w:tcPr>
                <w:p w14:paraId="7CEB15E6" w14:textId="77777777" w:rsidR="00036EF7" w:rsidRPr="00241348" w:rsidRDefault="00036EF7" w:rsidP="00036EF7">
                  <w:pPr>
                    <w:jc w:val="center"/>
                    <w:rPr>
                      <w:rFonts w:ascii="Times New Roman" w:hAnsi="Times New Roman" w:cs="Times New Roman"/>
                      <w:sz w:val="16"/>
                      <w:szCs w:val="16"/>
                      <w:lang w:val="en-US"/>
                    </w:rPr>
                  </w:pPr>
                </w:p>
              </w:tc>
              <w:tc>
                <w:tcPr>
                  <w:tcW w:w="394" w:type="dxa"/>
                </w:tcPr>
                <w:p w14:paraId="61B400EE" w14:textId="77777777" w:rsidR="00036EF7" w:rsidRPr="00241348" w:rsidRDefault="00036EF7" w:rsidP="00036EF7">
                  <w:pPr>
                    <w:jc w:val="center"/>
                    <w:rPr>
                      <w:rFonts w:ascii="Times New Roman" w:hAnsi="Times New Roman" w:cs="Times New Roman"/>
                      <w:sz w:val="16"/>
                      <w:szCs w:val="16"/>
                      <w:lang w:val="en-US"/>
                    </w:rPr>
                  </w:pPr>
                </w:p>
              </w:tc>
              <w:tc>
                <w:tcPr>
                  <w:tcW w:w="400" w:type="dxa"/>
                </w:tcPr>
                <w:p w14:paraId="51948559" w14:textId="77777777" w:rsidR="00036EF7" w:rsidRPr="00241348" w:rsidRDefault="00036EF7" w:rsidP="00036EF7">
                  <w:pPr>
                    <w:jc w:val="center"/>
                    <w:rPr>
                      <w:rFonts w:ascii="Times New Roman" w:hAnsi="Times New Roman" w:cs="Times New Roman"/>
                      <w:sz w:val="16"/>
                      <w:szCs w:val="16"/>
                      <w:lang w:val="en-US"/>
                    </w:rPr>
                  </w:pPr>
                </w:p>
              </w:tc>
            </w:tr>
          </w:tbl>
          <w:p w14:paraId="6ED57F6F" w14:textId="45F30E6B" w:rsidR="00B45F62" w:rsidRPr="00CC0DC3" w:rsidRDefault="00B45F62">
            <w:pPr>
              <w:widowControl w:val="0"/>
              <w:jc w:val="both"/>
              <w:rPr>
                <w:rFonts w:eastAsia="Arimo"/>
              </w:rPr>
            </w:pPr>
          </w:p>
        </w:tc>
      </w:tr>
      <w:tr w:rsidR="004B3D70" w:rsidRPr="00223742" w14:paraId="77D9EFF3" w14:textId="77777777" w:rsidTr="00AF42A3">
        <w:trPr>
          <w:trHeight w:val="277"/>
        </w:trPr>
        <w:tc>
          <w:tcPr>
            <w:tcW w:w="9314" w:type="dxa"/>
            <w:shd w:val="clear" w:color="auto" w:fill="auto"/>
            <w:tcMar>
              <w:top w:w="100" w:type="dxa"/>
              <w:left w:w="100" w:type="dxa"/>
              <w:bottom w:w="100" w:type="dxa"/>
              <w:right w:w="100" w:type="dxa"/>
            </w:tcMar>
          </w:tcPr>
          <w:p w14:paraId="3E26F6E1" w14:textId="2A4CEFFC" w:rsidR="004B3D70" w:rsidRPr="00223742" w:rsidRDefault="005C6066" w:rsidP="004F3A87">
            <w:pPr>
              <w:pStyle w:val="ListParagraph"/>
              <w:widowControl w:val="0"/>
              <w:numPr>
                <w:ilvl w:val="1"/>
                <w:numId w:val="12"/>
              </w:numPr>
              <w:pBdr>
                <w:top w:val="nil"/>
                <w:left w:val="nil"/>
                <w:bottom w:val="nil"/>
                <w:right w:val="nil"/>
                <w:between w:val="nil"/>
              </w:pBdr>
              <w:jc w:val="both"/>
              <w:rPr>
                <w:b/>
              </w:rPr>
            </w:pPr>
            <w:r w:rsidRPr="005F101A">
              <w:rPr>
                <w:b/>
              </w:rPr>
              <w:t>Кога най-рано може да започне изпълнението на проекта след неговото одобрение?</w:t>
            </w:r>
          </w:p>
        </w:tc>
      </w:tr>
      <w:tr w:rsidR="004B3D70" w:rsidRPr="00223742" w14:paraId="209DFD9C" w14:textId="77777777" w:rsidTr="00AF42A3">
        <w:trPr>
          <w:trHeight w:val="277"/>
        </w:trPr>
        <w:tc>
          <w:tcPr>
            <w:tcW w:w="9314" w:type="dxa"/>
            <w:shd w:val="clear" w:color="auto" w:fill="auto"/>
            <w:tcMar>
              <w:top w:w="100" w:type="dxa"/>
              <w:left w:w="100" w:type="dxa"/>
              <w:bottom w:w="100" w:type="dxa"/>
              <w:right w:w="100" w:type="dxa"/>
            </w:tcMar>
          </w:tcPr>
          <w:p w14:paraId="6CA4C95B" w14:textId="730E560C" w:rsidR="004B3D70" w:rsidRPr="00B06E7D" w:rsidRDefault="00027744" w:rsidP="00C471BB">
            <w:pPr>
              <w:widowControl w:val="0"/>
              <w:pBdr>
                <w:top w:val="nil"/>
                <w:left w:val="nil"/>
                <w:bottom w:val="nil"/>
                <w:right w:val="nil"/>
                <w:between w:val="nil"/>
              </w:pBdr>
              <w:jc w:val="both"/>
            </w:pPr>
            <w:r w:rsidRPr="00B06E7D">
              <w:t>юни</w:t>
            </w:r>
            <w:r w:rsidR="004B3D70" w:rsidRPr="00B06E7D">
              <w:t xml:space="preserve"> 202</w:t>
            </w:r>
            <w:r w:rsidR="000B2812" w:rsidRPr="00B06E7D">
              <w:t>2</w:t>
            </w:r>
            <w:r w:rsidR="004B3D70" w:rsidRPr="00B06E7D">
              <w:t xml:space="preserve"> г.</w:t>
            </w:r>
          </w:p>
          <w:p w14:paraId="7ED731CA" w14:textId="12CD64E8" w:rsidR="005F2DE8" w:rsidRPr="00223742" w:rsidRDefault="005F2DE8" w:rsidP="00C471BB">
            <w:pPr>
              <w:widowControl w:val="0"/>
              <w:pBdr>
                <w:top w:val="nil"/>
                <w:left w:val="nil"/>
                <w:bottom w:val="nil"/>
                <w:right w:val="nil"/>
                <w:between w:val="nil"/>
              </w:pBdr>
              <w:jc w:val="both"/>
            </w:pPr>
          </w:p>
        </w:tc>
      </w:tr>
      <w:tr w:rsidR="004B3D70" w:rsidRPr="00223742" w14:paraId="5492F122" w14:textId="77777777" w:rsidTr="00AF42A3">
        <w:tc>
          <w:tcPr>
            <w:tcW w:w="9314" w:type="dxa"/>
            <w:shd w:val="clear" w:color="auto" w:fill="auto"/>
            <w:tcMar>
              <w:top w:w="100" w:type="dxa"/>
              <w:left w:w="100" w:type="dxa"/>
              <w:bottom w:w="100" w:type="dxa"/>
              <w:right w:w="100" w:type="dxa"/>
            </w:tcMar>
          </w:tcPr>
          <w:p w14:paraId="6816FA73" w14:textId="622D72B4" w:rsidR="004B3D70" w:rsidRPr="00223742" w:rsidRDefault="0014224E" w:rsidP="004F3A87">
            <w:pPr>
              <w:pStyle w:val="ListParagraph"/>
              <w:widowControl w:val="0"/>
              <w:numPr>
                <w:ilvl w:val="0"/>
                <w:numId w:val="12"/>
              </w:numPr>
              <w:pBdr>
                <w:top w:val="nil"/>
                <w:left w:val="nil"/>
                <w:bottom w:val="nil"/>
                <w:right w:val="nil"/>
                <w:between w:val="nil"/>
              </w:pBdr>
              <w:jc w:val="both"/>
              <w:rPr>
                <w:b/>
              </w:rPr>
            </w:pPr>
            <w:r w:rsidRPr="00181302">
              <w:rPr>
                <w:b/>
              </w:rPr>
              <w:lastRenderedPageBreak/>
              <w:t>Индикативен финансов ресурс по дейности, вкл. източници на финансиране (ДБ, европейско финансиране, частно финансиране, МФИ).</w:t>
            </w:r>
          </w:p>
        </w:tc>
      </w:tr>
      <w:tr w:rsidR="004B3D70" w:rsidRPr="00223742" w14:paraId="3BE5F9D4" w14:textId="77777777" w:rsidTr="00AF42A3">
        <w:tc>
          <w:tcPr>
            <w:tcW w:w="9314" w:type="dxa"/>
            <w:shd w:val="clear" w:color="auto" w:fill="auto"/>
            <w:tcMar>
              <w:top w:w="100" w:type="dxa"/>
              <w:left w:w="100" w:type="dxa"/>
              <w:bottom w:w="100" w:type="dxa"/>
              <w:right w:w="100" w:type="dxa"/>
            </w:tcMar>
          </w:tcPr>
          <w:p w14:paraId="1FBBEB3E" w14:textId="77777777" w:rsidR="006A188C" w:rsidRPr="00103198" w:rsidRDefault="006A188C" w:rsidP="006A188C">
            <w:pPr>
              <w:pStyle w:val="Default"/>
              <w:spacing w:line="276" w:lineRule="auto"/>
              <w:rPr>
                <w:rFonts w:ascii="Arial" w:hAnsi="Arial" w:cs="Arial"/>
                <w:sz w:val="15"/>
                <w:szCs w:val="15"/>
              </w:rPr>
            </w:pPr>
          </w:p>
          <w:tbl>
            <w:tblPr>
              <w:tblW w:w="7114" w:type="dxa"/>
              <w:tblLayout w:type="fixed"/>
              <w:tblLook w:val="04A0" w:firstRow="1" w:lastRow="0" w:firstColumn="1" w:lastColumn="0" w:noHBand="0" w:noVBand="1"/>
            </w:tblPr>
            <w:tblGrid>
              <w:gridCol w:w="1441"/>
              <w:gridCol w:w="1987"/>
              <w:gridCol w:w="2126"/>
              <w:gridCol w:w="1560"/>
            </w:tblGrid>
            <w:tr w:rsidR="007D1C11" w:rsidRPr="0011497C" w14:paraId="696F4DDD" w14:textId="77777777" w:rsidTr="002746FE">
              <w:trPr>
                <w:trHeight w:val="645"/>
              </w:trPr>
              <w:tc>
                <w:tcPr>
                  <w:tcW w:w="1441" w:type="dxa"/>
                  <w:tcBorders>
                    <w:top w:val="single" w:sz="4" w:space="0" w:color="000000"/>
                    <w:left w:val="single" w:sz="4" w:space="0" w:color="000000"/>
                    <w:bottom w:val="single" w:sz="4" w:space="0" w:color="000000"/>
                    <w:right w:val="single" w:sz="4" w:space="0" w:color="000000"/>
                  </w:tcBorders>
                  <w:shd w:val="clear" w:color="000000" w:fill="BDC0BF"/>
                  <w:vAlign w:val="center"/>
                  <w:hideMark/>
                </w:tcPr>
                <w:p w14:paraId="2B729367" w14:textId="77777777" w:rsidR="007D1C11" w:rsidRPr="0011497C" w:rsidRDefault="007D1C11" w:rsidP="007D1C11">
                  <w:pPr>
                    <w:jc w:val="center"/>
                    <w:rPr>
                      <w:rFonts w:eastAsia="Times New Roman"/>
                      <w:b/>
                      <w:color w:val="000000"/>
                      <w:sz w:val="20"/>
                      <w:szCs w:val="20"/>
                    </w:rPr>
                  </w:pPr>
                  <w:r w:rsidRPr="0011497C">
                    <w:rPr>
                      <w:b/>
                      <w:color w:val="000000"/>
                      <w:sz w:val="20"/>
                      <w:szCs w:val="20"/>
                    </w:rPr>
                    <w:t>Дейност</w:t>
                  </w:r>
                </w:p>
              </w:tc>
              <w:tc>
                <w:tcPr>
                  <w:tcW w:w="1987" w:type="dxa"/>
                  <w:tcBorders>
                    <w:top w:val="single" w:sz="4" w:space="0" w:color="000000"/>
                    <w:left w:val="nil"/>
                    <w:bottom w:val="single" w:sz="4" w:space="0" w:color="000000"/>
                    <w:right w:val="single" w:sz="4" w:space="0" w:color="000000"/>
                  </w:tcBorders>
                  <w:shd w:val="clear" w:color="000000" w:fill="BDC0BF"/>
                  <w:vAlign w:val="center"/>
                  <w:hideMark/>
                </w:tcPr>
                <w:p w14:paraId="658DA4CA" w14:textId="77777777" w:rsidR="007D1C11" w:rsidRPr="0011497C" w:rsidRDefault="007D1C11" w:rsidP="007D1C11">
                  <w:pPr>
                    <w:jc w:val="center"/>
                    <w:rPr>
                      <w:rFonts w:eastAsia="Times New Roman"/>
                      <w:b/>
                      <w:color w:val="000000"/>
                      <w:sz w:val="20"/>
                      <w:szCs w:val="20"/>
                    </w:rPr>
                  </w:pPr>
                  <w:r w:rsidRPr="0011497C">
                    <w:rPr>
                      <w:b/>
                      <w:color w:val="000000"/>
                      <w:sz w:val="20"/>
                      <w:szCs w:val="20"/>
                    </w:rPr>
                    <w:t>Финансиране на ПВУ в лева</w:t>
                  </w:r>
                </w:p>
              </w:tc>
              <w:tc>
                <w:tcPr>
                  <w:tcW w:w="2126" w:type="dxa"/>
                  <w:tcBorders>
                    <w:top w:val="single" w:sz="4" w:space="0" w:color="000000"/>
                    <w:left w:val="nil"/>
                    <w:bottom w:val="single" w:sz="4" w:space="0" w:color="000000"/>
                    <w:right w:val="single" w:sz="4" w:space="0" w:color="000000"/>
                  </w:tcBorders>
                  <w:shd w:val="clear" w:color="000000" w:fill="BDC0BF"/>
                  <w:vAlign w:val="center"/>
                  <w:hideMark/>
                </w:tcPr>
                <w:p w14:paraId="05F7D970" w14:textId="357F4961" w:rsidR="007D1C11" w:rsidRPr="0011497C" w:rsidRDefault="007D1C11" w:rsidP="007D1C11">
                  <w:pPr>
                    <w:jc w:val="center"/>
                    <w:rPr>
                      <w:rFonts w:eastAsia="Times New Roman"/>
                      <w:b/>
                      <w:color w:val="000000"/>
                      <w:sz w:val="20"/>
                      <w:szCs w:val="20"/>
                    </w:rPr>
                  </w:pPr>
                  <w:r w:rsidRPr="0011497C">
                    <w:rPr>
                      <w:b/>
                      <w:color w:val="000000"/>
                      <w:sz w:val="20"/>
                      <w:szCs w:val="20"/>
                    </w:rPr>
                    <w:t xml:space="preserve">Съфинансиране на </w:t>
                  </w:r>
                  <w:r w:rsidRPr="0011497C">
                    <w:rPr>
                      <w:b/>
                      <w:sz w:val="20"/>
                      <w:szCs w:val="20"/>
                    </w:rPr>
                    <w:t>бенефициенти от безвъзмездна</w:t>
                  </w:r>
                  <w:r w:rsidR="00BD0869">
                    <w:rPr>
                      <w:b/>
                      <w:sz w:val="20"/>
                      <w:szCs w:val="20"/>
                    </w:rPr>
                    <w:t>та</w:t>
                  </w:r>
                  <w:r w:rsidRPr="0011497C">
                    <w:rPr>
                      <w:b/>
                      <w:sz w:val="20"/>
                      <w:szCs w:val="20"/>
                    </w:rPr>
                    <w:t xml:space="preserve"> помощ</w:t>
                  </w:r>
                </w:p>
              </w:tc>
              <w:tc>
                <w:tcPr>
                  <w:tcW w:w="1560" w:type="dxa"/>
                  <w:tcBorders>
                    <w:top w:val="single" w:sz="4" w:space="0" w:color="000000"/>
                    <w:left w:val="nil"/>
                    <w:bottom w:val="single" w:sz="4" w:space="0" w:color="000000"/>
                    <w:right w:val="single" w:sz="4" w:space="0" w:color="000000"/>
                  </w:tcBorders>
                  <w:shd w:val="clear" w:color="000000" w:fill="BDC0BF"/>
                  <w:vAlign w:val="center"/>
                  <w:hideMark/>
                </w:tcPr>
                <w:p w14:paraId="105D616D" w14:textId="77777777" w:rsidR="007D1C11" w:rsidRPr="0011497C" w:rsidRDefault="007D1C11" w:rsidP="007D1C11">
                  <w:pPr>
                    <w:jc w:val="center"/>
                    <w:rPr>
                      <w:rFonts w:eastAsia="Times New Roman"/>
                      <w:b/>
                      <w:color w:val="000000"/>
                      <w:sz w:val="20"/>
                      <w:szCs w:val="20"/>
                    </w:rPr>
                  </w:pPr>
                  <w:r w:rsidRPr="0011497C">
                    <w:rPr>
                      <w:b/>
                      <w:color w:val="000000"/>
                      <w:sz w:val="20"/>
                      <w:szCs w:val="20"/>
                    </w:rPr>
                    <w:t>Общо в лева</w:t>
                  </w:r>
                </w:p>
              </w:tc>
            </w:tr>
            <w:tr w:rsidR="007D1C11" w:rsidRPr="00E7763A" w14:paraId="7C9160C0" w14:textId="77777777" w:rsidTr="002746FE">
              <w:trPr>
                <w:trHeight w:val="292"/>
              </w:trPr>
              <w:tc>
                <w:tcPr>
                  <w:tcW w:w="1441" w:type="dxa"/>
                  <w:tcBorders>
                    <w:top w:val="nil"/>
                    <w:left w:val="single" w:sz="4" w:space="0" w:color="000000"/>
                    <w:bottom w:val="single" w:sz="4" w:space="0" w:color="000000"/>
                    <w:right w:val="single" w:sz="4" w:space="0" w:color="000000"/>
                  </w:tcBorders>
                  <w:shd w:val="clear" w:color="000000" w:fill="DBDBDB"/>
                  <w:hideMark/>
                </w:tcPr>
                <w:p w14:paraId="6E0B0B1F" w14:textId="77777777" w:rsidR="007D1C11" w:rsidRPr="00E7763A" w:rsidRDefault="007D1C11" w:rsidP="007D1C11">
                  <w:pPr>
                    <w:jc w:val="center"/>
                    <w:rPr>
                      <w:rFonts w:eastAsia="Times New Roman"/>
                      <w:b/>
                      <w:bCs/>
                      <w:color w:val="000000"/>
                      <w:sz w:val="20"/>
                      <w:szCs w:val="20"/>
                    </w:rPr>
                  </w:pPr>
                  <w:r w:rsidRPr="00E7763A">
                    <w:rPr>
                      <w:b/>
                      <w:color w:val="000000"/>
                      <w:sz w:val="20"/>
                      <w:szCs w:val="20"/>
                    </w:rPr>
                    <w:t>Дейност 1</w:t>
                  </w:r>
                </w:p>
              </w:tc>
              <w:tc>
                <w:tcPr>
                  <w:tcW w:w="1987" w:type="dxa"/>
                  <w:tcBorders>
                    <w:top w:val="nil"/>
                    <w:left w:val="nil"/>
                    <w:bottom w:val="single" w:sz="4" w:space="0" w:color="000000"/>
                    <w:right w:val="single" w:sz="4" w:space="0" w:color="000000"/>
                  </w:tcBorders>
                  <w:shd w:val="clear" w:color="auto" w:fill="auto"/>
                  <w:hideMark/>
                </w:tcPr>
                <w:p w14:paraId="38B69D6C" w14:textId="77777777" w:rsidR="007D1C11" w:rsidRPr="00E7763A" w:rsidRDefault="007D1C11" w:rsidP="007D1C11">
                  <w:pPr>
                    <w:jc w:val="center"/>
                    <w:rPr>
                      <w:rFonts w:eastAsiaTheme="minorHAnsi"/>
                      <w:color w:val="000000"/>
                      <w:sz w:val="20"/>
                      <w:szCs w:val="20"/>
                    </w:rPr>
                  </w:pPr>
                  <w:r w:rsidRPr="00E7763A">
                    <w:rPr>
                      <w:color w:val="000000"/>
                      <w:sz w:val="20"/>
                      <w:szCs w:val="20"/>
                    </w:rPr>
                    <w:t>2,330,000</w:t>
                  </w:r>
                </w:p>
              </w:tc>
              <w:tc>
                <w:tcPr>
                  <w:tcW w:w="2126" w:type="dxa"/>
                  <w:tcBorders>
                    <w:top w:val="nil"/>
                    <w:left w:val="nil"/>
                    <w:bottom w:val="single" w:sz="4" w:space="0" w:color="000000"/>
                    <w:right w:val="single" w:sz="4" w:space="0" w:color="000000"/>
                  </w:tcBorders>
                  <w:shd w:val="clear" w:color="auto" w:fill="auto"/>
                  <w:hideMark/>
                </w:tcPr>
                <w:p w14:paraId="50C20722" w14:textId="77777777" w:rsidR="007D1C11" w:rsidRPr="00E7763A" w:rsidRDefault="007D1C11" w:rsidP="007D1C11">
                  <w:pPr>
                    <w:jc w:val="center"/>
                    <w:rPr>
                      <w:rFonts w:eastAsia="Times New Roman"/>
                      <w:color w:val="000000"/>
                      <w:sz w:val="20"/>
                      <w:szCs w:val="20"/>
                    </w:rPr>
                  </w:pPr>
                  <w:r w:rsidRPr="00E7763A">
                    <w:rPr>
                      <w:rFonts w:eastAsia="Times New Roman"/>
                      <w:color w:val="000000"/>
                      <w:sz w:val="20"/>
                      <w:szCs w:val="20"/>
                    </w:rPr>
                    <w:t>н/п</w:t>
                  </w:r>
                </w:p>
              </w:tc>
              <w:tc>
                <w:tcPr>
                  <w:tcW w:w="1560" w:type="dxa"/>
                  <w:tcBorders>
                    <w:top w:val="nil"/>
                    <w:left w:val="nil"/>
                    <w:bottom w:val="single" w:sz="4" w:space="0" w:color="000000"/>
                    <w:right w:val="single" w:sz="4" w:space="0" w:color="000000"/>
                  </w:tcBorders>
                  <w:shd w:val="clear" w:color="auto" w:fill="auto"/>
                  <w:hideMark/>
                </w:tcPr>
                <w:p w14:paraId="3E988775" w14:textId="77777777" w:rsidR="007D1C11" w:rsidRPr="00E7763A" w:rsidRDefault="007D1C11" w:rsidP="007D1C11">
                  <w:pPr>
                    <w:jc w:val="center"/>
                    <w:rPr>
                      <w:rFonts w:eastAsia="Times New Roman"/>
                      <w:color w:val="000000"/>
                      <w:sz w:val="20"/>
                      <w:szCs w:val="20"/>
                    </w:rPr>
                  </w:pPr>
                  <w:r w:rsidRPr="00E7763A">
                    <w:rPr>
                      <w:color w:val="000000"/>
                      <w:sz w:val="20"/>
                      <w:szCs w:val="20"/>
                    </w:rPr>
                    <w:t>н/п</w:t>
                  </w:r>
                </w:p>
              </w:tc>
            </w:tr>
            <w:tr w:rsidR="007D1C11" w:rsidRPr="00E7763A" w14:paraId="17E0D170" w14:textId="77777777" w:rsidTr="002746FE">
              <w:trPr>
                <w:trHeight w:val="271"/>
              </w:trPr>
              <w:tc>
                <w:tcPr>
                  <w:tcW w:w="1441" w:type="dxa"/>
                  <w:tcBorders>
                    <w:top w:val="nil"/>
                    <w:left w:val="single" w:sz="4" w:space="0" w:color="000000"/>
                    <w:bottom w:val="single" w:sz="4" w:space="0" w:color="000000"/>
                    <w:right w:val="single" w:sz="4" w:space="0" w:color="000000"/>
                  </w:tcBorders>
                  <w:shd w:val="clear" w:color="000000" w:fill="DBDBDB"/>
                  <w:hideMark/>
                </w:tcPr>
                <w:p w14:paraId="7039B05D" w14:textId="77777777" w:rsidR="007D1C11" w:rsidRPr="00E7763A" w:rsidRDefault="007D1C11" w:rsidP="007D1C11">
                  <w:pPr>
                    <w:jc w:val="center"/>
                    <w:rPr>
                      <w:rFonts w:eastAsia="Times New Roman"/>
                      <w:b/>
                      <w:bCs/>
                      <w:color w:val="000000"/>
                      <w:sz w:val="20"/>
                      <w:szCs w:val="20"/>
                    </w:rPr>
                  </w:pPr>
                  <w:r w:rsidRPr="00E7763A">
                    <w:rPr>
                      <w:b/>
                      <w:color w:val="000000"/>
                      <w:sz w:val="20"/>
                      <w:szCs w:val="20"/>
                    </w:rPr>
                    <w:t>Дейност 2</w:t>
                  </w:r>
                </w:p>
              </w:tc>
              <w:tc>
                <w:tcPr>
                  <w:tcW w:w="1987" w:type="dxa"/>
                  <w:tcBorders>
                    <w:top w:val="nil"/>
                    <w:left w:val="nil"/>
                    <w:bottom w:val="single" w:sz="4" w:space="0" w:color="000000"/>
                    <w:right w:val="single" w:sz="4" w:space="0" w:color="000000"/>
                  </w:tcBorders>
                  <w:shd w:val="clear" w:color="auto" w:fill="auto"/>
                  <w:hideMark/>
                </w:tcPr>
                <w:p w14:paraId="702FE17C" w14:textId="77777777" w:rsidR="007D1C11" w:rsidRPr="00E7763A" w:rsidRDefault="007D1C11" w:rsidP="007D1C11">
                  <w:pPr>
                    <w:jc w:val="center"/>
                    <w:rPr>
                      <w:rFonts w:eastAsiaTheme="minorHAnsi"/>
                      <w:color w:val="000000"/>
                      <w:sz w:val="20"/>
                      <w:szCs w:val="20"/>
                    </w:rPr>
                  </w:pPr>
                  <w:r w:rsidRPr="00E7763A">
                    <w:rPr>
                      <w:color w:val="000000"/>
                      <w:sz w:val="20"/>
                      <w:szCs w:val="20"/>
                    </w:rPr>
                    <w:t>25,014,000</w:t>
                  </w:r>
                </w:p>
              </w:tc>
              <w:tc>
                <w:tcPr>
                  <w:tcW w:w="2126" w:type="dxa"/>
                  <w:tcBorders>
                    <w:top w:val="nil"/>
                    <w:left w:val="nil"/>
                    <w:bottom w:val="single" w:sz="4" w:space="0" w:color="000000"/>
                    <w:right w:val="single" w:sz="4" w:space="0" w:color="000000"/>
                  </w:tcBorders>
                  <w:shd w:val="clear" w:color="auto" w:fill="auto"/>
                  <w:hideMark/>
                </w:tcPr>
                <w:p w14:paraId="77EA3C11" w14:textId="77777777" w:rsidR="007D1C11" w:rsidRPr="00E7763A" w:rsidRDefault="007D1C11" w:rsidP="007D1C11">
                  <w:pPr>
                    <w:jc w:val="center"/>
                    <w:rPr>
                      <w:rFonts w:eastAsia="Times New Roman"/>
                      <w:color w:val="000000"/>
                      <w:sz w:val="20"/>
                      <w:szCs w:val="20"/>
                    </w:rPr>
                  </w:pPr>
                  <w:r w:rsidRPr="00E7763A">
                    <w:rPr>
                      <w:rFonts w:eastAsia="Times New Roman"/>
                      <w:color w:val="000000"/>
                      <w:sz w:val="20"/>
                      <w:szCs w:val="20"/>
                    </w:rPr>
                    <w:t>2,493,400</w:t>
                  </w:r>
                </w:p>
              </w:tc>
              <w:tc>
                <w:tcPr>
                  <w:tcW w:w="1560" w:type="dxa"/>
                  <w:tcBorders>
                    <w:top w:val="nil"/>
                    <w:left w:val="nil"/>
                    <w:bottom w:val="single" w:sz="4" w:space="0" w:color="000000"/>
                    <w:right w:val="single" w:sz="4" w:space="0" w:color="000000"/>
                  </w:tcBorders>
                  <w:shd w:val="clear" w:color="auto" w:fill="auto"/>
                  <w:hideMark/>
                </w:tcPr>
                <w:p w14:paraId="700F5946" w14:textId="77777777" w:rsidR="007D1C11" w:rsidRPr="00B1093D" w:rsidRDefault="007D1C11" w:rsidP="007D1C11">
                  <w:pPr>
                    <w:jc w:val="center"/>
                    <w:rPr>
                      <w:rFonts w:eastAsia="Times New Roman"/>
                      <w:color w:val="000000"/>
                      <w:sz w:val="20"/>
                      <w:szCs w:val="20"/>
                    </w:rPr>
                  </w:pPr>
                  <w:r>
                    <w:rPr>
                      <w:rFonts w:eastAsia="Times New Roman"/>
                      <w:color w:val="000000"/>
                      <w:sz w:val="20"/>
                      <w:szCs w:val="20"/>
                    </w:rPr>
                    <w:t>27,507,400</w:t>
                  </w:r>
                </w:p>
              </w:tc>
            </w:tr>
            <w:tr w:rsidR="007D1C11" w:rsidRPr="00E7763A" w14:paraId="5F8975B7" w14:textId="77777777" w:rsidTr="002746FE">
              <w:trPr>
                <w:trHeight w:val="275"/>
              </w:trPr>
              <w:tc>
                <w:tcPr>
                  <w:tcW w:w="1441" w:type="dxa"/>
                  <w:tcBorders>
                    <w:top w:val="nil"/>
                    <w:left w:val="single" w:sz="4" w:space="0" w:color="000000"/>
                    <w:bottom w:val="single" w:sz="4" w:space="0" w:color="000000"/>
                    <w:right w:val="single" w:sz="4" w:space="0" w:color="000000"/>
                  </w:tcBorders>
                  <w:shd w:val="clear" w:color="000000" w:fill="DBDBDB"/>
                  <w:hideMark/>
                </w:tcPr>
                <w:p w14:paraId="26CF64AB" w14:textId="77777777" w:rsidR="007D1C11" w:rsidRPr="00E7763A" w:rsidRDefault="007D1C11" w:rsidP="007D1C11">
                  <w:pPr>
                    <w:jc w:val="center"/>
                    <w:rPr>
                      <w:rFonts w:eastAsia="Times New Roman"/>
                      <w:b/>
                      <w:bCs/>
                      <w:color w:val="000000"/>
                      <w:sz w:val="20"/>
                      <w:szCs w:val="20"/>
                    </w:rPr>
                  </w:pPr>
                  <w:r w:rsidRPr="00E7763A">
                    <w:rPr>
                      <w:b/>
                      <w:color w:val="000000"/>
                      <w:sz w:val="20"/>
                      <w:szCs w:val="20"/>
                    </w:rPr>
                    <w:t>Дейност 3</w:t>
                  </w:r>
                </w:p>
              </w:tc>
              <w:tc>
                <w:tcPr>
                  <w:tcW w:w="1987" w:type="dxa"/>
                  <w:tcBorders>
                    <w:top w:val="nil"/>
                    <w:left w:val="nil"/>
                    <w:bottom w:val="single" w:sz="4" w:space="0" w:color="000000"/>
                    <w:right w:val="single" w:sz="4" w:space="0" w:color="000000"/>
                  </w:tcBorders>
                  <w:shd w:val="clear" w:color="auto" w:fill="auto"/>
                  <w:hideMark/>
                </w:tcPr>
                <w:p w14:paraId="7D55C9B0" w14:textId="77777777" w:rsidR="007D1C11" w:rsidRPr="00E7763A" w:rsidRDefault="007D1C11" w:rsidP="007D1C11">
                  <w:pPr>
                    <w:jc w:val="center"/>
                    <w:rPr>
                      <w:rFonts w:eastAsiaTheme="minorHAnsi"/>
                      <w:color w:val="000000"/>
                      <w:sz w:val="20"/>
                      <w:szCs w:val="20"/>
                    </w:rPr>
                  </w:pPr>
                  <w:r w:rsidRPr="00E7763A">
                    <w:rPr>
                      <w:color w:val="000000"/>
                      <w:sz w:val="20"/>
                      <w:szCs w:val="20"/>
                    </w:rPr>
                    <w:t>21,642,000</w:t>
                  </w:r>
                </w:p>
              </w:tc>
              <w:tc>
                <w:tcPr>
                  <w:tcW w:w="2126" w:type="dxa"/>
                  <w:tcBorders>
                    <w:top w:val="nil"/>
                    <w:left w:val="nil"/>
                    <w:bottom w:val="single" w:sz="4" w:space="0" w:color="000000"/>
                    <w:right w:val="single" w:sz="4" w:space="0" w:color="000000"/>
                  </w:tcBorders>
                  <w:shd w:val="clear" w:color="auto" w:fill="auto"/>
                  <w:hideMark/>
                </w:tcPr>
                <w:p w14:paraId="5F274F69" w14:textId="77777777" w:rsidR="007D1C11" w:rsidRPr="00E7763A" w:rsidRDefault="007D1C11" w:rsidP="007D1C11">
                  <w:pPr>
                    <w:jc w:val="center"/>
                    <w:rPr>
                      <w:rFonts w:eastAsia="Times New Roman"/>
                      <w:color w:val="000000"/>
                      <w:sz w:val="20"/>
                      <w:szCs w:val="20"/>
                    </w:rPr>
                  </w:pPr>
                  <w:r w:rsidRPr="00E7763A">
                    <w:rPr>
                      <w:rFonts w:eastAsia="Times New Roman"/>
                      <w:color w:val="000000"/>
                      <w:sz w:val="20"/>
                      <w:szCs w:val="20"/>
                    </w:rPr>
                    <w:t>2,153,000</w:t>
                  </w:r>
                </w:p>
              </w:tc>
              <w:tc>
                <w:tcPr>
                  <w:tcW w:w="1560" w:type="dxa"/>
                  <w:tcBorders>
                    <w:top w:val="nil"/>
                    <w:left w:val="nil"/>
                    <w:bottom w:val="single" w:sz="4" w:space="0" w:color="000000"/>
                    <w:right w:val="single" w:sz="4" w:space="0" w:color="000000"/>
                  </w:tcBorders>
                  <w:shd w:val="clear" w:color="auto" w:fill="auto"/>
                  <w:hideMark/>
                </w:tcPr>
                <w:p w14:paraId="021E4D55" w14:textId="77777777" w:rsidR="007D1C11" w:rsidRPr="00D26D05" w:rsidRDefault="007D1C11" w:rsidP="007D1C11">
                  <w:pPr>
                    <w:jc w:val="center"/>
                    <w:rPr>
                      <w:rFonts w:eastAsia="Times New Roman"/>
                      <w:color w:val="000000"/>
                      <w:sz w:val="20"/>
                      <w:szCs w:val="20"/>
                    </w:rPr>
                  </w:pPr>
                  <w:r>
                    <w:rPr>
                      <w:color w:val="000000"/>
                      <w:sz w:val="20"/>
                      <w:szCs w:val="20"/>
                    </w:rPr>
                    <w:t>23,795,000</w:t>
                  </w:r>
                </w:p>
              </w:tc>
            </w:tr>
            <w:tr w:rsidR="007D1C11" w:rsidRPr="00E7763A" w14:paraId="0E38A011" w14:textId="77777777" w:rsidTr="002746FE">
              <w:trPr>
                <w:trHeight w:val="277"/>
              </w:trPr>
              <w:tc>
                <w:tcPr>
                  <w:tcW w:w="1441" w:type="dxa"/>
                  <w:tcBorders>
                    <w:top w:val="nil"/>
                    <w:left w:val="single" w:sz="4" w:space="0" w:color="000000"/>
                    <w:bottom w:val="single" w:sz="4" w:space="0" w:color="000000"/>
                    <w:right w:val="single" w:sz="4" w:space="0" w:color="000000"/>
                  </w:tcBorders>
                  <w:shd w:val="clear" w:color="000000" w:fill="DBDBDB"/>
                  <w:hideMark/>
                </w:tcPr>
                <w:p w14:paraId="3775E465" w14:textId="77777777" w:rsidR="007D1C11" w:rsidRPr="00E7763A" w:rsidRDefault="007D1C11" w:rsidP="007D1C11">
                  <w:pPr>
                    <w:jc w:val="center"/>
                    <w:rPr>
                      <w:rFonts w:eastAsia="Times New Roman"/>
                      <w:b/>
                      <w:bCs/>
                      <w:color w:val="000000"/>
                      <w:sz w:val="20"/>
                      <w:szCs w:val="20"/>
                    </w:rPr>
                  </w:pPr>
                  <w:r w:rsidRPr="00E7763A">
                    <w:rPr>
                      <w:b/>
                      <w:color w:val="000000"/>
                      <w:sz w:val="20"/>
                      <w:szCs w:val="20"/>
                    </w:rPr>
                    <w:t>Дейност 4</w:t>
                  </w:r>
                </w:p>
              </w:tc>
              <w:tc>
                <w:tcPr>
                  <w:tcW w:w="1987" w:type="dxa"/>
                  <w:tcBorders>
                    <w:top w:val="nil"/>
                    <w:left w:val="nil"/>
                    <w:bottom w:val="single" w:sz="4" w:space="0" w:color="000000"/>
                    <w:right w:val="single" w:sz="4" w:space="0" w:color="000000"/>
                  </w:tcBorders>
                  <w:shd w:val="clear" w:color="auto" w:fill="auto"/>
                  <w:hideMark/>
                </w:tcPr>
                <w:p w14:paraId="40C7CB49" w14:textId="77777777" w:rsidR="007D1C11" w:rsidRPr="00E7763A" w:rsidRDefault="007D1C11" w:rsidP="007D1C11">
                  <w:pPr>
                    <w:jc w:val="center"/>
                    <w:rPr>
                      <w:rFonts w:eastAsiaTheme="minorHAnsi"/>
                      <w:color w:val="000000"/>
                      <w:sz w:val="20"/>
                      <w:szCs w:val="20"/>
                    </w:rPr>
                  </w:pPr>
                  <w:r w:rsidRPr="00E7763A">
                    <w:rPr>
                      <w:color w:val="000000"/>
                      <w:sz w:val="20"/>
                      <w:szCs w:val="20"/>
                    </w:rPr>
                    <w:t>30,002,000</w:t>
                  </w:r>
                </w:p>
              </w:tc>
              <w:tc>
                <w:tcPr>
                  <w:tcW w:w="2126" w:type="dxa"/>
                  <w:tcBorders>
                    <w:top w:val="nil"/>
                    <w:left w:val="nil"/>
                    <w:bottom w:val="single" w:sz="4" w:space="0" w:color="000000"/>
                    <w:right w:val="single" w:sz="4" w:space="0" w:color="000000"/>
                  </w:tcBorders>
                  <w:shd w:val="clear" w:color="auto" w:fill="auto"/>
                  <w:hideMark/>
                </w:tcPr>
                <w:p w14:paraId="4BCE8C21" w14:textId="77777777" w:rsidR="007D1C11" w:rsidRPr="00E7763A" w:rsidRDefault="007D1C11" w:rsidP="007D1C11">
                  <w:pPr>
                    <w:jc w:val="center"/>
                    <w:rPr>
                      <w:rFonts w:eastAsia="Times New Roman"/>
                      <w:color w:val="000000"/>
                      <w:sz w:val="20"/>
                      <w:szCs w:val="20"/>
                    </w:rPr>
                  </w:pPr>
                  <w:r w:rsidRPr="00E7763A">
                    <w:rPr>
                      <w:rFonts w:eastAsia="Times New Roman"/>
                      <w:color w:val="000000"/>
                      <w:sz w:val="20"/>
                      <w:szCs w:val="20"/>
                    </w:rPr>
                    <w:t>12,475,000</w:t>
                  </w:r>
                </w:p>
              </w:tc>
              <w:tc>
                <w:tcPr>
                  <w:tcW w:w="1560" w:type="dxa"/>
                  <w:tcBorders>
                    <w:top w:val="nil"/>
                    <w:left w:val="nil"/>
                    <w:bottom w:val="single" w:sz="4" w:space="0" w:color="000000"/>
                    <w:right w:val="single" w:sz="4" w:space="0" w:color="000000"/>
                  </w:tcBorders>
                  <w:shd w:val="clear" w:color="auto" w:fill="auto"/>
                  <w:hideMark/>
                </w:tcPr>
                <w:p w14:paraId="4DE2BB4F" w14:textId="77777777" w:rsidR="007D1C11" w:rsidRPr="004B2575" w:rsidRDefault="007D1C11" w:rsidP="007D1C11">
                  <w:pPr>
                    <w:jc w:val="center"/>
                    <w:rPr>
                      <w:rFonts w:eastAsia="Times New Roman"/>
                      <w:color w:val="000000"/>
                      <w:sz w:val="20"/>
                      <w:szCs w:val="20"/>
                    </w:rPr>
                  </w:pPr>
                  <w:r w:rsidRPr="00E7763A">
                    <w:rPr>
                      <w:color w:val="000000"/>
                      <w:sz w:val="20"/>
                      <w:szCs w:val="20"/>
                    </w:rPr>
                    <w:t>4</w:t>
                  </w:r>
                  <w:r>
                    <w:rPr>
                      <w:color w:val="000000"/>
                      <w:sz w:val="20"/>
                      <w:szCs w:val="20"/>
                    </w:rPr>
                    <w:t>2,477,000</w:t>
                  </w:r>
                </w:p>
              </w:tc>
            </w:tr>
            <w:tr w:rsidR="007D1C11" w:rsidRPr="00E7763A" w14:paraId="1188D41C" w14:textId="77777777" w:rsidTr="002746FE">
              <w:trPr>
                <w:trHeight w:val="267"/>
              </w:trPr>
              <w:tc>
                <w:tcPr>
                  <w:tcW w:w="1441" w:type="dxa"/>
                  <w:tcBorders>
                    <w:top w:val="nil"/>
                    <w:left w:val="single" w:sz="4" w:space="0" w:color="000000"/>
                    <w:bottom w:val="single" w:sz="4" w:space="0" w:color="000000"/>
                    <w:right w:val="single" w:sz="4" w:space="0" w:color="000000"/>
                  </w:tcBorders>
                  <w:shd w:val="clear" w:color="000000" w:fill="DBDBDB"/>
                  <w:hideMark/>
                </w:tcPr>
                <w:p w14:paraId="2D6161E7" w14:textId="77777777" w:rsidR="007D1C11" w:rsidRPr="00E7763A" w:rsidRDefault="007D1C11" w:rsidP="007D1C11">
                  <w:pPr>
                    <w:jc w:val="center"/>
                    <w:rPr>
                      <w:rFonts w:eastAsia="Times New Roman"/>
                      <w:b/>
                      <w:bCs/>
                      <w:color w:val="000000"/>
                      <w:sz w:val="20"/>
                      <w:szCs w:val="20"/>
                    </w:rPr>
                  </w:pPr>
                  <w:r w:rsidRPr="00E7763A">
                    <w:rPr>
                      <w:b/>
                      <w:color w:val="000000"/>
                      <w:sz w:val="20"/>
                      <w:szCs w:val="20"/>
                    </w:rPr>
                    <w:t>Дейност 5</w:t>
                  </w:r>
                </w:p>
              </w:tc>
              <w:tc>
                <w:tcPr>
                  <w:tcW w:w="1987" w:type="dxa"/>
                  <w:tcBorders>
                    <w:top w:val="nil"/>
                    <w:left w:val="nil"/>
                    <w:bottom w:val="single" w:sz="4" w:space="0" w:color="000000"/>
                    <w:right w:val="single" w:sz="4" w:space="0" w:color="000000"/>
                  </w:tcBorders>
                  <w:shd w:val="clear" w:color="auto" w:fill="auto"/>
                  <w:hideMark/>
                </w:tcPr>
                <w:p w14:paraId="0BF59777" w14:textId="77777777" w:rsidR="007D1C11" w:rsidRPr="00E7763A" w:rsidRDefault="007D1C11" w:rsidP="007D1C11">
                  <w:pPr>
                    <w:jc w:val="center"/>
                    <w:rPr>
                      <w:rFonts w:eastAsiaTheme="minorHAnsi"/>
                      <w:color w:val="000000"/>
                      <w:sz w:val="20"/>
                      <w:szCs w:val="20"/>
                    </w:rPr>
                  </w:pPr>
                  <w:r w:rsidRPr="00E7763A">
                    <w:rPr>
                      <w:color w:val="000000"/>
                      <w:sz w:val="20"/>
                      <w:szCs w:val="20"/>
                    </w:rPr>
                    <w:t>705,000</w:t>
                  </w:r>
                </w:p>
              </w:tc>
              <w:tc>
                <w:tcPr>
                  <w:tcW w:w="2126" w:type="dxa"/>
                  <w:tcBorders>
                    <w:top w:val="nil"/>
                    <w:left w:val="nil"/>
                    <w:bottom w:val="single" w:sz="4" w:space="0" w:color="000000"/>
                    <w:right w:val="single" w:sz="4" w:space="0" w:color="000000"/>
                  </w:tcBorders>
                  <w:shd w:val="clear" w:color="auto" w:fill="auto"/>
                  <w:hideMark/>
                </w:tcPr>
                <w:p w14:paraId="67C05AB6" w14:textId="77777777" w:rsidR="007D1C11" w:rsidRPr="00E7763A" w:rsidRDefault="007D1C11" w:rsidP="007D1C11">
                  <w:pPr>
                    <w:jc w:val="center"/>
                    <w:rPr>
                      <w:rFonts w:eastAsia="Times New Roman"/>
                      <w:color w:val="000000"/>
                      <w:sz w:val="20"/>
                      <w:szCs w:val="20"/>
                    </w:rPr>
                  </w:pPr>
                  <w:r w:rsidRPr="00E7763A">
                    <w:rPr>
                      <w:color w:val="000000"/>
                      <w:sz w:val="20"/>
                      <w:szCs w:val="20"/>
                    </w:rPr>
                    <w:t>н/п</w:t>
                  </w:r>
                </w:p>
              </w:tc>
              <w:tc>
                <w:tcPr>
                  <w:tcW w:w="1560" w:type="dxa"/>
                  <w:tcBorders>
                    <w:top w:val="nil"/>
                    <w:left w:val="nil"/>
                    <w:bottom w:val="single" w:sz="4" w:space="0" w:color="000000"/>
                    <w:right w:val="single" w:sz="4" w:space="0" w:color="000000"/>
                  </w:tcBorders>
                  <w:shd w:val="clear" w:color="auto" w:fill="auto"/>
                  <w:hideMark/>
                </w:tcPr>
                <w:p w14:paraId="5964F7F2" w14:textId="1DA38063" w:rsidR="007D1C11" w:rsidRPr="00E7763A" w:rsidRDefault="00724C5B" w:rsidP="007D1C11">
                  <w:pPr>
                    <w:jc w:val="center"/>
                    <w:rPr>
                      <w:rFonts w:eastAsia="Times New Roman"/>
                      <w:color w:val="000000"/>
                      <w:sz w:val="20"/>
                      <w:szCs w:val="20"/>
                    </w:rPr>
                  </w:pPr>
                  <w:r>
                    <w:rPr>
                      <w:rFonts w:eastAsia="Times New Roman"/>
                      <w:color w:val="000000"/>
                      <w:sz w:val="20"/>
                      <w:szCs w:val="20"/>
                    </w:rPr>
                    <w:t>705,000</w:t>
                  </w:r>
                </w:p>
              </w:tc>
            </w:tr>
            <w:tr w:rsidR="002F28AC" w:rsidRPr="002F28AC" w14:paraId="63A4278E" w14:textId="77777777" w:rsidTr="002746FE">
              <w:trPr>
                <w:trHeight w:val="417"/>
              </w:trPr>
              <w:tc>
                <w:tcPr>
                  <w:tcW w:w="1441" w:type="dxa"/>
                  <w:tcBorders>
                    <w:top w:val="nil"/>
                    <w:left w:val="single" w:sz="4" w:space="0" w:color="000000"/>
                    <w:bottom w:val="single" w:sz="4" w:space="0" w:color="000000"/>
                    <w:right w:val="single" w:sz="4" w:space="0" w:color="000000"/>
                  </w:tcBorders>
                  <w:shd w:val="clear" w:color="000000" w:fill="BFBFBF"/>
                  <w:hideMark/>
                </w:tcPr>
                <w:p w14:paraId="23AC9360" w14:textId="77777777" w:rsidR="007D1C11" w:rsidRPr="002F28AC" w:rsidRDefault="007D1C11" w:rsidP="007D1C11">
                  <w:pPr>
                    <w:jc w:val="center"/>
                    <w:rPr>
                      <w:sz w:val="20"/>
                      <w:szCs w:val="20"/>
                    </w:rPr>
                  </w:pPr>
                  <w:r w:rsidRPr="002F28AC">
                    <w:rPr>
                      <w:sz w:val="20"/>
                      <w:szCs w:val="20"/>
                    </w:rPr>
                    <w:t>Общо</w:t>
                  </w:r>
                  <w:r w:rsidR="00724C5B" w:rsidRPr="002F28AC">
                    <w:rPr>
                      <w:sz w:val="20"/>
                      <w:szCs w:val="20"/>
                    </w:rPr>
                    <w:t>:</w:t>
                  </w:r>
                </w:p>
                <w:p w14:paraId="493DFDCE" w14:textId="3B55C4C6" w:rsidR="00596A0D" w:rsidRPr="002F28AC" w:rsidRDefault="00596A0D" w:rsidP="007D1C11">
                  <w:pPr>
                    <w:jc w:val="center"/>
                    <w:rPr>
                      <w:rFonts w:eastAsia="Times New Roman"/>
                      <w:sz w:val="20"/>
                      <w:szCs w:val="20"/>
                    </w:rPr>
                  </w:pPr>
                </w:p>
              </w:tc>
              <w:tc>
                <w:tcPr>
                  <w:tcW w:w="1987" w:type="dxa"/>
                  <w:tcBorders>
                    <w:top w:val="nil"/>
                    <w:left w:val="nil"/>
                    <w:bottom w:val="single" w:sz="4" w:space="0" w:color="000000"/>
                    <w:right w:val="single" w:sz="4" w:space="0" w:color="000000"/>
                  </w:tcBorders>
                  <w:shd w:val="clear" w:color="000000" w:fill="BFBFBF"/>
                  <w:hideMark/>
                </w:tcPr>
                <w:p w14:paraId="6A3E9430" w14:textId="1A69AF2D" w:rsidR="00C42446" w:rsidRPr="002F28AC" w:rsidRDefault="009A5316" w:rsidP="00AB09E7">
                  <w:pPr>
                    <w:jc w:val="center"/>
                    <w:rPr>
                      <w:b/>
                      <w:bCs/>
                      <w:sz w:val="20"/>
                      <w:szCs w:val="20"/>
                    </w:rPr>
                  </w:pPr>
                  <w:r>
                    <w:rPr>
                      <w:b/>
                      <w:bCs/>
                      <w:sz w:val="20"/>
                      <w:szCs w:val="20"/>
                    </w:rPr>
                    <w:t>7</w:t>
                  </w:r>
                  <w:r w:rsidR="00370127" w:rsidRPr="002F28AC">
                    <w:rPr>
                      <w:b/>
                      <w:bCs/>
                      <w:sz w:val="20"/>
                      <w:szCs w:val="20"/>
                    </w:rPr>
                    <w:t>9,693,000</w:t>
                  </w:r>
                </w:p>
              </w:tc>
              <w:tc>
                <w:tcPr>
                  <w:tcW w:w="2126" w:type="dxa"/>
                  <w:tcBorders>
                    <w:top w:val="nil"/>
                    <w:left w:val="nil"/>
                    <w:bottom w:val="single" w:sz="4" w:space="0" w:color="000000"/>
                    <w:right w:val="single" w:sz="4" w:space="0" w:color="000000"/>
                  </w:tcBorders>
                  <w:shd w:val="clear" w:color="000000" w:fill="BFBFBF"/>
                  <w:hideMark/>
                </w:tcPr>
                <w:p w14:paraId="7DC7D2CB" w14:textId="160AAD7A" w:rsidR="00596A0D" w:rsidRPr="002F28AC" w:rsidRDefault="009A5316" w:rsidP="00AB09E7">
                  <w:pPr>
                    <w:jc w:val="center"/>
                    <w:rPr>
                      <w:rFonts w:eastAsia="Times New Roman"/>
                      <w:b/>
                      <w:bCs/>
                      <w:sz w:val="20"/>
                      <w:szCs w:val="20"/>
                    </w:rPr>
                  </w:pPr>
                  <w:r>
                    <w:rPr>
                      <w:rFonts w:eastAsia="Times New Roman"/>
                      <w:b/>
                      <w:bCs/>
                      <w:sz w:val="20"/>
                      <w:szCs w:val="20"/>
                    </w:rPr>
                    <w:t>1</w:t>
                  </w:r>
                  <w:r w:rsidR="000923D5" w:rsidRPr="002F28AC">
                    <w:rPr>
                      <w:rFonts w:eastAsia="Times New Roman"/>
                      <w:b/>
                      <w:bCs/>
                      <w:sz w:val="20"/>
                      <w:szCs w:val="20"/>
                    </w:rPr>
                    <w:t>0,121,400</w:t>
                  </w:r>
                </w:p>
              </w:tc>
              <w:tc>
                <w:tcPr>
                  <w:tcW w:w="1560" w:type="dxa"/>
                  <w:tcBorders>
                    <w:top w:val="nil"/>
                    <w:left w:val="nil"/>
                    <w:bottom w:val="single" w:sz="4" w:space="0" w:color="000000"/>
                    <w:right w:val="single" w:sz="4" w:space="0" w:color="000000"/>
                  </w:tcBorders>
                  <w:shd w:val="clear" w:color="000000" w:fill="BFBFBF"/>
                  <w:hideMark/>
                </w:tcPr>
                <w:p w14:paraId="75EEC262" w14:textId="2740BA99" w:rsidR="00596A0D" w:rsidRPr="002F28AC" w:rsidRDefault="009A5316" w:rsidP="00AB09E7">
                  <w:pPr>
                    <w:jc w:val="center"/>
                    <w:rPr>
                      <w:b/>
                      <w:sz w:val="20"/>
                      <w:szCs w:val="20"/>
                    </w:rPr>
                  </w:pPr>
                  <w:r>
                    <w:rPr>
                      <w:b/>
                      <w:sz w:val="20"/>
                      <w:szCs w:val="20"/>
                    </w:rPr>
                    <w:t>9</w:t>
                  </w:r>
                  <w:r w:rsidR="002267AD" w:rsidRPr="002F28AC">
                    <w:rPr>
                      <w:b/>
                      <w:sz w:val="20"/>
                      <w:szCs w:val="20"/>
                    </w:rPr>
                    <w:t>6</w:t>
                  </w:r>
                  <w:r w:rsidR="00596A0D" w:rsidRPr="002F28AC">
                    <w:rPr>
                      <w:b/>
                      <w:sz w:val="20"/>
                      <w:szCs w:val="20"/>
                    </w:rPr>
                    <w:t>,814,400</w:t>
                  </w:r>
                </w:p>
              </w:tc>
            </w:tr>
          </w:tbl>
          <w:p w14:paraId="3B49A7C0" w14:textId="77777777" w:rsidR="00494CC9" w:rsidRDefault="00494CC9" w:rsidP="00C471BB">
            <w:pPr>
              <w:widowControl w:val="0"/>
              <w:pBdr>
                <w:top w:val="nil"/>
                <w:left w:val="nil"/>
                <w:bottom w:val="nil"/>
                <w:right w:val="nil"/>
                <w:between w:val="nil"/>
              </w:pBdr>
              <w:spacing w:before="120" w:after="120"/>
              <w:jc w:val="both"/>
            </w:pPr>
          </w:p>
          <w:p w14:paraId="24442ED5" w14:textId="0807F9A2" w:rsidR="007D1C11" w:rsidRPr="00494CC9" w:rsidRDefault="005C16A3" w:rsidP="00C471BB">
            <w:pPr>
              <w:widowControl w:val="0"/>
              <w:pBdr>
                <w:top w:val="nil"/>
                <w:left w:val="nil"/>
                <w:bottom w:val="nil"/>
                <w:right w:val="nil"/>
                <w:between w:val="nil"/>
              </w:pBdr>
              <w:spacing w:before="120" w:after="120"/>
              <w:jc w:val="both"/>
              <w:rPr>
                <w:i/>
                <w:iCs/>
              </w:rPr>
            </w:pPr>
            <w:r w:rsidRPr="00494CC9">
              <w:rPr>
                <w:i/>
                <w:iCs/>
              </w:rPr>
              <w:t>Бюджет</w:t>
            </w:r>
            <w:r w:rsidR="00CD4C05">
              <w:rPr>
                <w:i/>
                <w:iCs/>
              </w:rPr>
              <w:t>ът</w:t>
            </w:r>
            <w:r w:rsidRPr="00494CC9">
              <w:rPr>
                <w:i/>
                <w:iCs/>
              </w:rPr>
              <w:t xml:space="preserve"> е изготвен от Нели Неделчева, главен експерт</w:t>
            </w:r>
            <w:r w:rsidR="00E767C9" w:rsidRPr="00494CC9">
              <w:rPr>
                <w:i/>
                <w:iCs/>
              </w:rPr>
              <w:t>, отдел „Европейски програми</w:t>
            </w:r>
            <w:r w:rsidR="005D70DB" w:rsidRPr="00494CC9">
              <w:rPr>
                <w:i/>
                <w:iCs/>
              </w:rPr>
              <w:t xml:space="preserve"> и проекти“, Дирекция „Международно сът</w:t>
            </w:r>
            <w:r w:rsidR="00D829F7" w:rsidRPr="00494CC9">
              <w:rPr>
                <w:i/>
                <w:iCs/>
              </w:rPr>
              <w:t xml:space="preserve">рудничество, европейски програми и </w:t>
            </w:r>
            <w:r w:rsidR="00B45CEE" w:rsidRPr="00494CC9">
              <w:rPr>
                <w:i/>
                <w:iCs/>
              </w:rPr>
              <w:t>регионални длъжности</w:t>
            </w:r>
            <w:r w:rsidR="00D829F7" w:rsidRPr="00494CC9">
              <w:rPr>
                <w:i/>
                <w:iCs/>
              </w:rPr>
              <w:t xml:space="preserve">“, </w:t>
            </w:r>
            <w:r w:rsidR="00B45CEE" w:rsidRPr="00494CC9">
              <w:rPr>
                <w:i/>
                <w:iCs/>
              </w:rPr>
              <w:t>Министерство на културата</w:t>
            </w:r>
            <w:r w:rsidR="00494CC9">
              <w:rPr>
                <w:i/>
                <w:iCs/>
              </w:rPr>
              <w:t>.</w:t>
            </w:r>
          </w:p>
          <w:p w14:paraId="5666AC1F" w14:textId="758FAF47" w:rsidR="00494CC9" w:rsidRPr="005C16A3" w:rsidRDefault="00494CC9" w:rsidP="00C471BB">
            <w:pPr>
              <w:widowControl w:val="0"/>
              <w:pBdr>
                <w:top w:val="nil"/>
                <w:left w:val="nil"/>
                <w:bottom w:val="nil"/>
                <w:right w:val="nil"/>
                <w:between w:val="nil"/>
              </w:pBdr>
              <w:spacing w:before="120" w:after="120"/>
              <w:jc w:val="both"/>
            </w:pPr>
          </w:p>
        </w:tc>
      </w:tr>
      <w:tr w:rsidR="004B3D70" w:rsidRPr="00223742" w14:paraId="2F81DE26" w14:textId="77777777" w:rsidTr="00AF42A3">
        <w:trPr>
          <w:trHeight w:val="538"/>
        </w:trPr>
        <w:tc>
          <w:tcPr>
            <w:tcW w:w="9314" w:type="dxa"/>
            <w:shd w:val="clear" w:color="auto" w:fill="auto"/>
            <w:tcMar>
              <w:top w:w="100" w:type="dxa"/>
              <w:left w:w="100" w:type="dxa"/>
              <w:bottom w:w="100" w:type="dxa"/>
              <w:right w:w="100" w:type="dxa"/>
            </w:tcMar>
          </w:tcPr>
          <w:p w14:paraId="00AE0852" w14:textId="77777777" w:rsidR="004B3D70" w:rsidRPr="00223742" w:rsidRDefault="004B3D70" w:rsidP="004F3A87">
            <w:pPr>
              <w:pStyle w:val="ListParagraph"/>
              <w:widowControl w:val="0"/>
              <w:numPr>
                <w:ilvl w:val="1"/>
                <w:numId w:val="12"/>
              </w:numPr>
              <w:pBdr>
                <w:top w:val="nil"/>
                <w:left w:val="nil"/>
                <w:bottom w:val="nil"/>
                <w:right w:val="nil"/>
                <w:between w:val="nil"/>
              </w:pBdr>
              <w:jc w:val="both"/>
              <w:rPr>
                <w:b/>
              </w:rPr>
            </w:pPr>
            <w:r w:rsidRPr="005B342F">
              <w:rPr>
                <w:b/>
              </w:rPr>
              <w:t>Индикативно разпределение на финансовия ресурс в зависимост от вида разходи</w:t>
            </w:r>
          </w:p>
        </w:tc>
      </w:tr>
      <w:tr w:rsidR="004B3D70" w:rsidRPr="00223742" w14:paraId="18451F32" w14:textId="77777777" w:rsidTr="00AF42A3">
        <w:trPr>
          <w:trHeight w:val="538"/>
        </w:trPr>
        <w:tc>
          <w:tcPr>
            <w:tcW w:w="9314" w:type="dxa"/>
            <w:shd w:val="clear" w:color="auto" w:fill="auto"/>
            <w:tcMar>
              <w:top w:w="100" w:type="dxa"/>
              <w:left w:w="100" w:type="dxa"/>
              <w:bottom w:w="100" w:type="dxa"/>
              <w:right w:w="100" w:type="dxa"/>
            </w:tcMar>
          </w:tcPr>
          <w:p w14:paraId="24341FAA" w14:textId="3E12EFB8" w:rsidR="00EA48CA" w:rsidRPr="002F28AC" w:rsidRDefault="007B2223" w:rsidP="004F3A87">
            <w:pPr>
              <w:pStyle w:val="ListParagraph"/>
              <w:widowControl w:val="0"/>
              <w:numPr>
                <w:ilvl w:val="0"/>
                <w:numId w:val="8"/>
              </w:numPr>
              <w:pBdr>
                <w:top w:val="nil"/>
                <w:left w:val="nil"/>
                <w:bottom w:val="nil"/>
                <w:right w:val="nil"/>
                <w:between w:val="nil"/>
              </w:pBdr>
              <w:jc w:val="both"/>
              <w:rPr>
                <w:rFonts w:eastAsia="Arimo"/>
                <w:b/>
                <w:bCs/>
              </w:rPr>
            </w:pPr>
            <w:r w:rsidRPr="002F28AC">
              <w:t>Схеми за безвъзмездна помощ</w:t>
            </w:r>
            <w:r w:rsidR="00EA48CA" w:rsidRPr="002F28AC">
              <w:t xml:space="preserve"> за малки и големи проекти по Дейности 2, 3, </w:t>
            </w:r>
            <w:r w:rsidR="007A4228" w:rsidRPr="002F28AC">
              <w:t>4</w:t>
            </w:r>
            <w:r w:rsidR="009A2284" w:rsidRPr="002F28AC">
              <w:t>,</w:t>
            </w:r>
            <w:r w:rsidR="00B130AF" w:rsidRPr="002F28AC">
              <w:t xml:space="preserve"> 5 </w:t>
            </w:r>
            <w:r w:rsidR="00EA48CA" w:rsidRPr="002F28AC">
              <w:t xml:space="preserve">и </w:t>
            </w:r>
            <w:r w:rsidR="00B130AF" w:rsidRPr="002F28AC">
              <w:t>6</w:t>
            </w:r>
            <w:r w:rsidR="00E847D5" w:rsidRPr="002F28AC">
              <w:t>:</w:t>
            </w:r>
            <w:r w:rsidR="00EA48CA" w:rsidRPr="002F28AC">
              <w:t xml:space="preserve"> </w:t>
            </w:r>
            <w:r w:rsidR="00F30220">
              <w:rPr>
                <w:b/>
                <w:bCs/>
              </w:rPr>
              <w:t>76,505,280</w:t>
            </w:r>
            <w:r w:rsidR="00BE0F5E" w:rsidRPr="002F28AC">
              <w:rPr>
                <w:b/>
                <w:bCs/>
              </w:rPr>
              <w:t xml:space="preserve"> лв. =</w:t>
            </w:r>
            <w:r w:rsidR="00BE0F5E" w:rsidRPr="002F28AC">
              <w:rPr>
                <w:b/>
              </w:rPr>
              <w:t xml:space="preserve"> 9</w:t>
            </w:r>
            <w:r w:rsidR="00B51D8D" w:rsidRPr="002F28AC">
              <w:rPr>
                <w:b/>
              </w:rPr>
              <w:t>6</w:t>
            </w:r>
            <w:r w:rsidR="00BE0F5E" w:rsidRPr="002F28AC">
              <w:rPr>
                <w:b/>
              </w:rPr>
              <w:t>% от бюджета за финансиране от ПВУ</w:t>
            </w:r>
          </w:p>
          <w:p w14:paraId="197A1F43" w14:textId="77777777" w:rsidR="00B130AF" w:rsidRPr="002F28AC" w:rsidRDefault="00B130AF" w:rsidP="00B130AF">
            <w:pPr>
              <w:pStyle w:val="ListParagraph"/>
              <w:widowControl w:val="0"/>
              <w:pBdr>
                <w:top w:val="nil"/>
                <w:left w:val="nil"/>
                <w:bottom w:val="nil"/>
                <w:right w:val="nil"/>
                <w:between w:val="nil"/>
              </w:pBdr>
              <w:ind w:left="360"/>
              <w:jc w:val="both"/>
              <w:rPr>
                <w:rFonts w:eastAsia="Arimo"/>
                <w:b/>
                <w:bCs/>
              </w:rPr>
            </w:pPr>
          </w:p>
          <w:p w14:paraId="3186B7C7" w14:textId="48D9814A" w:rsidR="0032550C" w:rsidRPr="00DD1730" w:rsidRDefault="008A0FDF" w:rsidP="00DD1730">
            <w:pPr>
              <w:pStyle w:val="ListParagraph"/>
              <w:widowControl w:val="0"/>
              <w:numPr>
                <w:ilvl w:val="0"/>
                <w:numId w:val="8"/>
              </w:numPr>
              <w:jc w:val="both"/>
              <w:rPr>
                <w:rFonts w:eastAsia="Arimo"/>
              </w:rPr>
            </w:pPr>
            <w:r w:rsidRPr="002F28AC">
              <w:t>Реформа, и</w:t>
            </w:r>
            <w:r w:rsidR="00EA48CA" w:rsidRPr="002F28AC">
              <w:t xml:space="preserve">зграждане на </w:t>
            </w:r>
            <w:r w:rsidR="00EA5E44" w:rsidRPr="002F28AC">
              <w:t>адм</w:t>
            </w:r>
            <w:r w:rsidR="007B5DD4" w:rsidRPr="002F28AC">
              <w:t xml:space="preserve">инистративен </w:t>
            </w:r>
            <w:r w:rsidR="00EA48CA" w:rsidRPr="002F28AC">
              <w:t xml:space="preserve">капацитет </w:t>
            </w:r>
            <w:r w:rsidR="00C31BAF" w:rsidRPr="002F28AC">
              <w:t xml:space="preserve">и управление на схемите за безвъзмездна помощ </w:t>
            </w:r>
            <w:r w:rsidR="00EA48CA" w:rsidRPr="002F28AC">
              <w:t>(вкл. договори за доставка и услуги по ЗОП)</w:t>
            </w:r>
            <w:r w:rsidR="00E847D5" w:rsidRPr="002F28AC">
              <w:t>:</w:t>
            </w:r>
            <w:r w:rsidR="00EA48CA" w:rsidRPr="002F28AC">
              <w:t xml:space="preserve"> </w:t>
            </w:r>
            <w:r w:rsidR="00F30220">
              <w:rPr>
                <w:b/>
                <w:bCs/>
              </w:rPr>
              <w:t>3,187,720</w:t>
            </w:r>
            <w:r w:rsidR="00EA48CA" w:rsidRPr="002F28AC">
              <w:rPr>
                <w:b/>
                <w:bCs/>
              </w:rPr>
              <w:t xml:space="preserve"> лв. =</w:t>
            </w:r>
            <w:r w:rsidR="00EA48CA" w:rsidRPr="002F28AC">
              <w:t xml:space="preserve"> </w:t>
            </w:r>
            <w:r w:rsidR="00117BE6" w:rsidRPr="002F28AC">
              <w:rPr>
                <w:b/>
              </w:rPr>
              <w:t>4%</w:t>
            </w:r>
            <w:r w:rsidR="00F973FF" w:rsidRPr="002F28AC">
              <w:rPr>
                <w:b/>
              </w:rPr>
              <w:t xml:space="preserve"> </w:t>
            </w:r>
            <w:r w:rsidR="00EA48CA" w:rsidRPr="002F28AC">
              <w:rPr>
                <w:b/>
              </w:rPr>
              <w:t xml:space="preserve">от </w:t>
            </w:r>
            <w:r w:rsidR="00ED6C4E" w:rsidRPr="002F28AC">
              <w:rPr>
                <w:b/>
              </w:rPr>
              <w:t>бюджета за финансиране от ПВУ.</w:t>
            </w:r>
          </w:p>
        </w:tc>
      </w:tr>
      <w:tr w:rsidR="004B3D70" w:rsidRPr="00223742" w14:paraId="26F3C44F" w14:textId="77777777" w:rsidTr="00AF42A3">
        <w:tc>
          <w:tcPr>
            <w:tcW w:w="9314" w:type="dxa"/>
            <w:shd w:val="clear" w:color="auto" w:fill="auto"/>
            <w:tcMar>
              <w:top w:w="100" w:type="dxa"/>
              <w:left w:w="100" w:type="dxa"/>
              <w:bottom w:w="100" w:type="dxa"/>
              <w:right w:w="100" w:type="dxa"/>
            </w:tcMar>
          </w:tcPr>
          <w:p w14:paraId="2ECA6E3C" w14:textId="77777777" w:rsidR="004B3D70" w:rsidRPr="00F44AA7" w:rsidRDefault="004B3D70" w:rsidP="004F3A87">
            <w:pPr>
              <w:pStyle w:val="ListParagraph"/>
              <w:widowControl w:val="0"/>
              <w:numPr>
                <w:ilvl w:val="0"/>
                <w:numId w:val="12"/>
              </w:numPr>
              <w:pBdr>
                <w:top w:val="nil"/>
                <w:left w:val="nil"/>
                <w:bottom w:val="nil"/>
                <w:right w:val="nil"/>
                <w:between w:val="nil"/>
              </w:pBdr>
              <w:jc w:val="both"/>
              <w:rPr>
                <w:b/>
              </w:rPr>
            </w:pPr>
            <w:r w:rsidRPr="00F44AA7">
              <w:rPr>
                <w:b/>
              </w:rPr>
              <w:t>Показатели</w:t>
            </w:r>
          </w:p>
        </w:tc>
      </w:tr>
      <w:tr w:rsidR="004B3D70" w:rsidRPr="00223742" w14:paraId="6470D977" w14:textId="77777777" w:rsidTr="00AF42A3">
        <w:tc>
          <w:tcPr>
            <w:tcW w:w="9314" w:type="dxa"/>
            <w:shd w:val="clear" w:color="auto" w:fill="auto"/>
            <w:tcMar>
              <w:top w:w="100" w:type="dxa"/>
              <w:left w:w="100" w:type="dxa"/>
              <w:bottom w:w="100" w:type="dxa"/>
              <w:right w:w="100" w:type="dxa"/>
            </w:tcMar>
          </w:tcPr>
          <w:p w14:paraId="70BED7FC" w14:textId="77777777" w:rsidR="004B3D70" w:rsidRPr="00F44AA7" w:rsidRDefault="004B3D70" w:rsidP="004F3A87">
            <w:pPr>
              <w:pStyle w:val="ListParagraph"/>
              <w:widowControl w:val="0"/>
              <w:numPr>
                <w:ilvl w:val="1"/>
                <w:numId w:val="12"/>
              </w:numPr>
              <w:pBdr>
                <w:top w:val="nil"/>
                <w:left w:val="nil"/>
                <w:bottom w:val="nil"/>
                <w:right w:val="nil"/>
                <w:between w:val="nil"/>
              </w:pBdr>
              <w:jc w:val="both"/>
              <w:rPr>
                <w:b/>
              </w:rPr>
            </w:pPr>
            <w:r w:rsidRPr="00F44AA7">
              <w:rPr>
                <w:b/>
              </w:rPr>
              <w:t>Показател(и) за ефективност</w:t>
            </w:r>
          </w:p>
        </w:tc>
      </w:tr>
      <w:tr w:rsidR="00595549" w:rsidRPr="00223742" w14:paraId="174C23AC" w14:textId="77777777" w:rsidTr="00AF42A3">
        <w:tc>
          <w:tcPr>
            <w:tcW w:w="9314" w:type="dxa"/>
            <w:shd w:val="clear" w:color="auto" w:fill="auto"/>
            <w:tcMar>
              <w:top w:w="100" w:type="dxa"/>
              <w:left w:w="100" w:type="dxa"/>
              <w:bottom w:w="100" w:type="dxa"/>
              <w:right w:w="100" w:type="dxa"/>
            </w:tcMar>
          </w:tcPr>
          <w:p w14:paraId="303DD02F" w14:textId="77777777" w:rsidR="00595549" w:rsidRPr="00223742" w:rsidRDefault="00595549" w:rsidP="004F3A87">
            <w:pPr>
              <w:pStyle w:val="ListParagraph"/>
              <w:widowControl w:val="0"/>
              <w:numPr>
                <w:ilvl w:val="0"/>
                <w:numId w:val="4"/>
              </w:numPr>
              <w:pBdr>
                <w:top w:val="nil"/>
                <w:left w:val="nil"/>
                <w:bottom w:val="nil"/>
                <w:right w:val="nil"/>
                <w:between w:val="nil"/>
              </w:pBdr>
              <w:jc w:val="both"/>
              <w:rPr>
                <w:rFonts w:eastAsia="Arimo"/>
              </w:rPr>
            </w:pPr>
            <w:r>
              <w:t xml:space="preserve">Ефикасност и прозрачност на културната администрация </w:t>
            </w:r>
          </w:p>
          <w:p w14:paraId="67182678" w14:textId="3EC6DEDC" w:rsidR="009E717E" w:rsidRPr="00701C8A" w:rsidRDefault="009E717E" w:rsidP="009E717E">
            <w:pPr>
              <w:widowControl w:val="0"/>
              <w:pBdr>
                <w:top w:val="nil"/>
                <w:left w:val="nil"/>
                <w:bottom w:val="nil"/>
                <w:right w:val="nil"/>
                <w:between w:val="nil"/>
              </w:pBdr>
              <w:ind w:left="720"/>
              <w:jc w:val="both"/>
              <w:rPr>
                <w:rFonts w:eastAsia="Arimo"/>
              </w:rPr>
            </w:pPr>
            <w:r>
              <w:t>Изходни данни - 10% [2019 г.]</w:t>
            </w:r>
          </w:p>
          <w:p w14:paraId="2488C84D" w14:textId="151A9040" w:rsidR="009E717E" w:rsidRPr="00223742" w:rsidRDefault="009E717E" w:rsidP="009E717E">
            <w:pPr>
              <w:widowControl w:val="0"/>
              <w:pBdr>
                <w:top w:val="nil"/>
                <w:left w:val="nil"/>
                <w:bottom w:val="nil"/>
                <w:right w:val="nil"/>
                <w:between w:val="nil"/>
              </w:pBdr>
              <w:ind w:left="720"/>
              <w:jc w:val="both"/>
              <w:rPr>
                <w:rFonts w:eastAsia="Arimo"/>
              </w:rPr>
            </w:pPr>
            <w:r>
              <w:t>Междинно - 19% [2022 г.]</w:t>
            </w:r>
          </w:p>
          <w:p w14:paraId="530355FC" w14:textId="04495E9F" w:rsidR="00595549" w:rsidRPr="009E717E" w:rsidRDefault="009E717E" w:rsidP="009E717E">
            <w:pPr>
              <w:widowControl w:val="0"/>
              <w:pBdr>
                <w:top w:val="nil"/>
                <w:left w:val="nil"/>
                <w:bottom w:val="nil"/>
                <w:right w:val="nil"/>
                <w:between w:val="nil"/>
              </w:pBdr>
              <w:ind w:left="720"/>
              <w:jc w:val="both"/>
              <w:rPr>
                <w:rFonts w:eastAsia="Arimo"/>
              </w:rPr>
            </w:pPr>
            <w:r>
              <w:t xml:space="preserve">Цел - увеличение с </w:t>
            </w:r>
            <w:r w:rsidR="00AF42A3">
              <w:rPr>
                <w:lang w:val="en-US"/>
              </w:rPr>
              <w:t>5</w:t>
            </w:r>
            <w:r>
              <w:t>0% [202</w:t>
            </w:r>
            <w:r w:rsidR="005D3C14">
              <w:t>5</w:t>
            </w:r>
            <w:r>
              <w:t xml:space="preserve"> г.]</w:t>
            </w:r>
          </w:p>
          <w:p w14:paraId="0F002412" w14:textId="64595323" w:rsidR="00DA1F80" w:rsidRPr="00701C8A" w:rsidRDefault="00571AF6" w:rsidP="004F3A87">
            <w:pPr>
              <w:pStyle w:val="ListParagraph"/>
              <w:widowControl w:val="0"/>
              <w:numPr>
                <w:ilvl w:val="0"/>
                <w:numId w:val="4"/>
              </w:numPr>
              <w:jc w:val="both"/>
              <w:rPr>
                <w:rFonts w:eastAsia="Arimo"/>
              </w:rPr>
            </w:pPr>
            <w:r>
              <w:t>Откриване на програма/фонд култура в общини, които преди това не са имали</w:t>
            </w:r>
          </w:p>
          <w:p w14:paraId="13747B84" w14:textId="39439E69" w:rsidR="00DA1F80" w:rsidRPr="00701C8A" w:rsidRDefault="00DA1F80" w:rsidP="00701C8A">
            <w:pPr>
              <w:widowControl w:val="0"/>
              <w:pBdr>
                <w:top w:val="nil"/>
                <w:left w:val="nil"/>
                <w:bottom w:val="nil"/>
                <w:right w:val="nil"/>
                <w:between w:val="nil"/>
              </w:pBdr>
              <w:ind w:left="720"/>
              <w:jc w:val="both"/>
              <w:rPr>
                <w:rFonts w:eastAsia="Arimo"/>
              </w:rPr>
            </w:pPr>
            <w:r>
              <w:t xml:space="preserve">Изходни данни - </w:t>
            </w:r>
            <w:r w:rsidR="00571AF6">
              <w:t>0</w:t>
            </w:r>
            <w:r>
              <w:t xml:space="preserve"> [20</w:t>
            </w:r>
            <w:r w:rsidR="00571AF6">
              <w:t>21</w:t>
            </w:r>
            <w:r>
              <w:t xml:space="preserve"> г.]</w:t>
            </w:r>
          </w:p>
          <w:p w14:paraId="76B33A89" w14:textId="0F5DE03C" w:rsidR="00DA1F80" w:rsidRPr="00223742" w:rsidRDefault="00DA1F80" w:rsidP="00701C8A">
            <w:pPr>
              <w:widowControl w:val="0"/>
              <w:pBdr>
                <w:top w:val="nil"/>
                <w:left w:val="nil"/>
                <w:bottom w:val="nil"/>
                <w:right w:val="nil"/>
                <w:between w:val="nil"/>
              </w:pBdr>
              <w:ind w:left="720"/>
              <w:jc w:val="both"/>
              <w:rPr>
                <w:rFonts w:eastAsia="Arimo"/>
              </w:rPr>
            </w:pPr>
            <w:r>
              <w:t xml:space="preserve">Междинно - </w:t>
            </w:r>
            <w:r w:rsidR="00571AF6">
              <w:t>10</w:t>
            </w:r>
            <w:r>
              <w:t xml:space="preserve"> [202</w:t>
            </w:r>
            <w:r w:rsidR="00571AF6">
              <w:t>3</w:t>
            </w:r>
            <w:r>
              <w:t xml:space="preserve"> г.]</w:t>
            </w:r>
          </w:p>
          <w:p w14:paraId="3A0901CF" w14:textId="359634AC" w:rsidR="00DA1F80" w:rsidRPr="00701C8A" w:rsidRDefault="00DA1F80" w:rsidP="00701C8A">
            <w:pPr>
              <w:widowControl w:val="0"/>
              <w:pBdr>
                <w:top w:val="nil"/>
                <w:left w:val="nil"/>
                <w:bottom w:val="nil"/>
                <w:right w:val="nil"/>
                <w:between w:val="nil"/>
              </w:pBdr>
              <w:ind w:left="720"/>
              <w:jc w:val="both"/>
              <w:rPr>
                <w:rFonts w:eastAsia="Arimo"/>
              </w:rPr>
            </w:pPr>
            <w:r>
              <w:t xml:space="preserve">Цел - </w:t>
            </w:r>
            <w:r w:rsidR="00571AF6">
              <w:t>20</w:t>
            </w:r>
            <w:r>
              <w:t xml:space="preserve"> [202</w:t>
            </w:r>
            <w:r w:rsidR="009E5CAE">
              <w:t>5</w:t>
            </w:r>
            <w:r>
              <w:t xml:space="preserve"> г.]</w:t>
            </w:r>
          </w:p>
          <w:p w14:paraId="72C77EB9" w14:textId="0F6DE047" w:rsidR="00DA1F80" w:rsidRPr="00701C8A" w:rsidRDefault="00701C8A" w:rsidP="004F3A87">
            <w:pPr>
              <w:pStyle w:val="ListParagraph"/>
              <w:widowControl w:val="0"/>
              <w:numPr>
                <w:ilvl w:val="0"/>
                <w:numId w:val="10"/>
              </w:numPr>
              <w:jc w:val="both"/>
              <w:rPr>
                <w:rFonts w:eastAsia="Arimo"/>
              </w:rPr>
            </w:pPr>
            <w:r>
              <w:t>Повишаване на з</w:t>
            </w:r>
            <w:r w:rsidR="00DA1F80">
              <w:t>аетост</w:t>
            </w:r>
            <w:r>
              <w:t>та</w:t>
            </w:r>
            <w:r w:rsidR="00DA1F80">
              <w:t xml:space="preserve"> в КТИ</w:t>
            </w:r>
            <w:r>
              <w:t>:</w:t>
            </w:r>
          </w:p>
          <w:p w14:paraId="6A5585ED" w14:textId="77777777" w:rsidR="00DA1F80" w:rsidRPr="00223742" w:rsidRDefault="00DA1F80" w:rsidP="00C471BB">
            <w:pPr>
              <w:widowControl w:val="0"/>
              <w:ind w:left="720"/>
              <w:jc w:val="both"/>
              <w:rPr>
                <w:rFonts w:eastAsia="Arimo"/>
              </w:rPr>
            </w:pPr>
            <w:r>
              <w:t>Изходни данни - 3,7% [2018 г.]</w:t>
            </w:r>
          </w:p>
          <w:p w14:paraId="6DFFC5B6" w14:textId="77777777" w:rsidR="00DA1F80" w:rsidRPr="00701C8A" w:rsidRDefault="00DA1F80" w:rsidP="00701C8A">
            <w:pPr>
              <w:widowControl w:val="0"/>
              <w:ind w:left="720"/>
              <w:jc w:val="both"/>
              <w:rPr>
                <w:rFonts w:eastAsia="Arimo"/>
              </w:rPr>
            </w:pPr>
            <w:r>
              <w:t>Междинно - Не е приложимо</w:t>
            </w:r>
          </w:p>
          <w:p w14:paraId="57574294" w14:textId="750B9F00" w:rsidR="00A4508B" w:rsidRDefault="00DA1F80" w:rsidP="00E14F8E">
            <w:pPr>
              <w:widowControl w:val="0"/>
              <w:ind w:left="720"/>
              <w:jc w:val="both"/>
            </w:pPr>
            <w:r>
              <w:t>Цел - 4,2% [202</w:t>
            </w:r>
            <w:r w:rsidR="00AF42A3">
              <w:rPr>
                <w:lang w:val="en-US"/>
              </w:rPr>
              <w:t>5</w:t>
            </w:r>
            <w:r>
              <w:t xml:space="preserve"> г.]</w:t>
            </w:r>
          </w:p>
          <w:p w14:paraId="2069D63A" w14:textId="77777777" w:rsidR="00595549" w:rsidRPr="00223742" w:rsidRDefault="00595549" w:rsidP="00C471BB">
            <w:pPr>
              <w:widowControl w:val="0"/>
              <w:pBdr>
                <w:top w:val="nil"/>
                <w:left w:val="nil"/>
                <w:bottom w:val="nil"/>
                <w:right w:val="nil"/>
                <w:between w:val="nil"/>
              </w:pBdr>
              <w:jc w:val="both"/>
              <w:rPr>
                <w:b/>
                <w:lang w:val="en-US"/>
              </w:rPr>
            </w:pPr>
          </w:p>
        </w:tc>
      </w:tr>
      <w:tr w:rsidR="00595549" w:rsidRPr="00223742" w14:paraId="4EB13D28" w14:textId="77777777" w:rsidTr="00AF42A3">
        <w:tc>
          <w:tcPr>
            <w:tcW w:w="9314" w:type="dxa"/>
            <w:shd w:val="clear" w:color="auto" w:fill="auto"/>
            <w:tcMar>
              <w:top w:w="100" w:type="dxa"/>
              <w:left w:w="100" w:type="dxa"/>
              <w:bottom w:w="100" w:type="dxa"/>
              <w:right w:w="100" w:type="dxa"/>
            </w:tcMar>
          </w:tcPr>
          <w:p w14:paraId="5F014497" w14:textId="77777777" w:rsidR="00595549" w:rsidRPr="00223742" w:rsidRDefault="00595549" w:rsidP="004F3A87">
            <w:pPr>
              <w:pStyle w:val="ListParagraph"/>
              <w:widowControl w:val="0"/>
              <w:numPr>
                <w:ilvl w:val="1"/>
                <w:numId w:val="12"/>
              </w:numPr>
              <w:pBdr>
                <w:top w:val="nil"/>
                <w:left w:val="nil"/>
                <w:bottom w:val="nil"/>
                <w:right w:val="nil"/>
                <w:between w:val="nil"/>
              </w:pBdr>
              <w:jc w:val="both"/>
              <w:rPr>
                <w:b/>
              </w:rPr>
            </w:pPr>
            <w:r w:rsidRPr="000F0733">
              <w:rPr>
                <w:b/>
              </w:rPr>
              <w:lastRenderedPageBreak/>
              <w:t>Показател(и) за резултати</w:t>
            </w:r>
          </w:p>
        </w:tc>
      </w:tr>
      <w:tr w:rsidR="00595549" w:rsidRPr="00310814" w14:paraId="55AE9FEB" w14:textId="77777777" w:rsidTr="00AF42A3">
        <w:tc>
          <w:tcPr>
            <w:tcW w:w="9314" w:type="dxa"/>
            <w:shd w:val="clear" w:color="auto" w:fill="auto"/>
            <w:tcMar>
              <w:top w:w="100" w:type="dxa"/>
              <w:left w:w="100" w:type="dxa"/>
              <w:bottom w:w="100" w:type="dxa"/>
              <w:right w:w="100" w:type="dxa"/>
            </w:tcMar>
          </w:tcPr>
          <w:p w14:paraId="3612FEA3" w14:textId="3947C8C8" w:rsidR="00571AF6" w:rsidRPr="00571AF6" w:rsidRDefault="00595549" w:rsidP="004F3A87">
            <w:pPr>
              <w:pStyle w:val="ListParagraph"/>
              <w:widowControl w:val="0"/>
              <w:numPr>
                <w:ilvl w:val="0"/>
                <w:numId w:val="3"/>
              </w:numPr>
              <w:jc w:val="both"/>
              <w:rPr>
                <w:color w:val="1D2228"/>
              </w:rPr>
            </w:pPr>
            <w:r>
              <w:t xml:space="preserve">Повишено ниво на предлагането на продукция </w:t>
            </w:r>
            <w:r w:rsidR="00AC681C">
              <w:t>на КТИ</w:t>
            </w:r>
            <w:r w:rsidR="0063673E">
              <w:t xml:space="preserve"> </w:t>
            </w:r>
          </w:p>
          <w:p w14:paraId="11EE80B8" w14:textId="02187EA2" w:rsidR="00571AF6" w:rsidRPr="00571AF6" w:rsidRDefault="00571AF6" w:rsidP="00571AF6">
            <w:pPr>
              <w:pStyle w:val="ListParagraph"/>
              <w:widowControl w:val="0"/>
              <w:jc w:val="both"/>
              <w:rPr>
                <w:color w:val="1D2228"/>
              </w:rPr>
            </w:pPr>
            <w:r>
              <w:rPr>
                <w:color w:val="1D2228"/>
              </w:rPr>
              <w:t xml:space="preserve">изходно ниво: 47 </w:t>
            </w:r>
            <w:r>
              <w:t>[2021 г.]</w:t>
            </w:r>
          </w:p>
          <w:p w14:paraId="6CA87DFF" w14:textId="79D1FE0E" w:rsidR="00D05386" w:rsidRPr="00F42125" w:rsidRDefault="00D05386" w:rsidP="00F42125">
            <w:pPr>
              <w:widowControl w:val="0"/>
              <w:ind w:left="720"/>
              <w:jc w:val="both"/>
              <w:rPr>
                <w:rFonts w:eastAsia="Arimo"/>
              </w:rPr>
            </w:pPr>
            <w:r>
              <w:rPr>
                <w:color w:val="1D2228"/>
              </w:rPr>
              <w:t xml:space="preserve">брой нови качествени културни </w:t>
            </w:r>
            <w:r w:rsidR="000B41FA">
              <w:rPr>
                <w:color w:val="1D2228"/>
              </w:rPr>
              <w:t>продукции</w:t>
            </w:r>
            <w:r>
              <w:rPr>
                <w:color w:val="1D2228"/>
              </w:rPr>
              <w:t xml:space="preserve"> - </w:t>
            </w:r>
            <w:r w:rsidR="00571AF6">
              <w:rPr>
                <w:color w:val="1D2228"/>
              </w:rPr>
              <w:t>350</w:t>
            </w:r>
            <w:r>
              <w:rPr>
                <w:color w:val="1D2228"/>
              </w:rPr>
              <w:t xml:space="preserve"> </w:t>
            </w:r>
            <w:r w:rsidR="00571AF6">
              <w:t>[2025 г.]</w:t>
            </w:r>
          </w:p>
          <w:p w14:paraId="08EB48D0" w14:textId="54024A6D" w:rsidR="00595549" w:rsidRDefault="00595549" w:rsidP="004F3A87">
            <w:pPr>
              <w:pStyle w:val="ListParagraph"/>
              <w:widowControl w:val="0"/>
              <w:numPr>
                <w:ilvl w:val="0"/>
                <w:numId w:val="3"/>
              </w:numPr>
              <w:jc w:val="both"/>
              <w:rPr>
                <w:rFonts w:eastAsia="Arimo"/>
              </w:rPr>
            </w:pPr>
            <w:r>
              <w:t xml:space="preserve">Общински политики - брой общини с културни политики </w:t>
            </w:r>
            <w:r w:rsidR="000F27D9">
              <w:t>:</w:t>
            </w:r>
          </w:p>
          <w:p w14:paraId="69638EBB" w14:textId="77777777" w:rsidR="00A455DD" w:rsidRPr="00B750A2" w:rsidRDefault="00A455DD" w:rsidP="007B71F2">
            <w:pPr>
              <w:shd w:val="clear" w:color="auto" w:fill="FFFFFF"/>
              <w:ind w:left="720"/>
              <w:jc w:val="both"/>
              <w:rPr>
                <w:rFonts w:eastAsia="Times New Roman"/>
                <w:color w:val="1D2228"/>
              </w:rPr>
            </w:pPr>
            <w:r>
              <w:rPr>
                <w:color w:val="1D2228"/>
              </w:rPr>
              <w:t>изходно ниво - 5</w:t>
            </w:r>
          </w:p>
          <w:p w14:paraId="1ECE8578" w14:textId="7B9A7D78" w:rsidR="00A455DD" w:rsidRPr="007B71F2" w:rsidRDefault="00A455DD" w:rsidP="007B71F2">
            <w:pPr>
              <w:shd w:val="clear" w:color="auto" w:fill="FFFFFF"/>
              <w:ind w:left="720"/>
              <w:jc w:val="both"/>
              <w:rPr>
                <w:rFonts w:eastAsia="Times New Roman"/>
                <w:color w:val="1D2228"/>
              </w:rPr>
            </w:pPr>
            <w:r>
              <w:rPr>
                <w:color w:val="1D2228"/>
              </w:rPr>
              <w:t>цел - 12</w:t>
            </w:r>
          </w:p>
          <w:p w14:paraId="03A4752A" w14:textId="269C572B" w:rsidR="00595549" w:rsidRPr="00344681" w:rsidRDefault="00595549" w:rsidP="004F3A87">
            <w:pPr>
              <w:pStyle w:val="ListParagraph"/>
              <w:widowControl w:val="0"/>
              <w:numPr>
                <w:ilvl w:val="0"/>
                <w:numId w:val="3"/>
              </w:numPr>
              <w:pBdr>
                <w:top w:val="nil"/>
                <w:left w:val="nil"/>
                <w:bottom w:val="nil"/>
                <w:right w:val="nil"/>
                <w:between w:val="nil"/>
              </w:pBdr>
              <w:jc w:val="both"/>
              <w:rPr>
                <w:rFonts w:eastAsia="Arimo"/>
              </w:rPr>
            </w:pPr>
            <w:r>
              <w:t xml:space="preserve">Повишен достъп </w:t>
            </w:r>
            <w:r w:rsidR="004647D9">
              <w:t xml:space="preserve">на българската публика до </w:t>
            </w:r>
            <w:r w:rsidR="009926B9">
              <w:t>продуктите на КТИ:</w:t>
            </w:r>
          </w:p>
          <w:p w14:paraId="572F81AE" w14:textId="77777777" w:rsidR="00595549" w:rsidRPr="00310814" w:rsidRDefault="00595549" w:rsidP="00344681">
            <w:pPr>
              <w:widowControl w:val="0"/>
              <w:pBdr>
                <w:top w:val="nil"/>
                <w:left w:val="nil"/>
                <w:bottom w:val="nil"/>
                <w:right w:val="nil"/>
                <w:between w:val="nil"/>
              </w:pBdr>
              <w:ind w:left="720"/>
              <w:jc w:val="both"/>
              <w:rPr>
                <w:rFonts w:eastAsia="Arimo"/>
              </w:rPr>
            </w:pPr>
            <w:r>
              <w:t>Изходни данни - 42,2% са присъствали на поне едно представление [2017 г.]</w:t>
            </w:r>
          </w:p>
          <w:p w14:paraId="548EDD9B" w14:textId="4C47BD16" w:rsidR="00595549" w:rsidRPr="00310814" w:rsidRDefault="00595549" w:rsidP="00344681">
            <w:pPr>
              <w:widowControl w:val="0"/>
              <w:pBdr>
                <w:top w:val="nil"/>
                <w:left w:val="nil"/>
                <w:bottom w:val="nil"/>
                <w:right w:val="nil"/>
                <w:between w:val="nil"/>
              </w:pBdr>
              <w:ind w:left="720"/>
              <w:jc w:val="both"/>
              <w:rPr>
                <w:rFonts w:eastAsia="Arimo"/>
              </w:rPr>
            </w:pPr>
            <w:r>
              <w:t xml:space="preserve">Междинно - </w:t>
            </w:r>
            <w:r w:rsidR="00571AF6">
              <w:t xml:space="preserve">увеличение с </w:t>
            </w:r>
            <w:r w:rsidR="00822C71">
              <w:t>5% [202</w:t>
            </w:r>
            <w:r w:rsidR="00822C71" w:rsidRPr="004E48B4">
              <w:t>3</w:t>
            </w:r>
            <w:r>
              <w:t xml:space="preserve"> г.]</w:t>
            </w:r>
          </w:p>
          <w:p w14:paraId="1399BF8C" w14:textId="169FF596" w:rsidR="00595549" w:rsidRPr="00310814" w:rsidRDefault="00822C71" w:rsidP="00344681">
            <w:pPr>
              <w:widowControl w:val="0"/>
              <w:pBdr>
                <w:top w:val="nil"/>
                <w:left w:val="nil"/>
                <w:bottom w:val="nil"/>
                <w:right w:val="nil"/>
                <w:between w:val="nil"/>
              </w:pBdr>
              <w:ind w:left="720"/>
              <w:jc w:val="both"/>
              <w:rPr>
                <w:rFonts w:eastAsia="Arimo"/>
              </w:rPr>
            </w:pPr>
            <w:r>
              <w:t xml:space="preserve">Цел - увеличение с </w:t>
            </w:r>
            <w:r w:rsidRPr="004E48B4">
              <w:t>1</w:t>
            </w:r>
            <w:r>
              <w:t>0% [202</w:t>
            </w:r>
            <w:r w:rsidRPr="004E48B4">
              <w:t>4</w:t>
            </w:r>
            <w:r w:rsidR="00595549">
              <w:t xml:space="preserve"> г.]</w:t>
            </w:r>
          </w:p>
          <w:p w14:paraId="5E4E119E" w14:textId="26B540A3" w:rsidR="00595549" w:rsidRPr="00344681" w:rsidRDefault="00595549" w:rsidP="004F3A87">
            <w:pPr>
              <w:pStyle w:val="ListParagraph"/>
              <w:widowControl w:val="0"/>
              <w:numPr>
                <w:ilvl w:val="0"/>
                <w:numId w:val="3"/>
              </w:numPr>
              <w:jc w:val="both"/>
              <w:rPr>
                <w:rFonts w:eastAsia="Arimo"/>
              </w:rPr>
            </w:pPr>
            <w:r>
              <w:t>Засилено международно сътрудничество - български културни продукти в големи европейски платформи за изкуство</w:t>
            </w:r>
            <w:r w:rsidR="000E27EA">
              <w:t xml:space="preserve">; </w:t>
            </w:r>
            <w:r w:rsidR="0052313E">
              <w:t>п</w:t>
            </w:r>
            <w:r w:rsidR="000E27EA">
              <w:t>артньорства и сътрудничество</w:t>
            </w:r>
            <w:r w:rsidR="009926B9">
              <w:t>:</w:t>
            </w:r>
          </w:p>
          <w:p w14:paraId="42D83BD4" w14:textId="77777777" w:rsidR="00595549" w:rsidRPr="00C161A6" w:rsidRDefault="00595549" w:rsidP="00C161A6">
            <w:pPr>
              <w:widowControl w:val="0"/>
              <w:ind w:left="720"/>
              <w:jc w:val="both"/>
              <w:rPr>
                <w:rFonts w:eastAsia="Arimo"/>
              </w:rPr>
            </w:pPr>
            <w:r>
              <w:t>Изходни данни - 7 [2017 г.]</w:t>
            </w:r>
          </w:p>
          <w:p w14:paraId="7C7C108C" w14:textId="3FB80583" w:rsidR="00595549" w:rsidRPr="00C161A6" w:rsidRDefault="00822C71" w:rsidP="00C161A6">
            <w:pPr>
              <w:widowControl w:val="0"/>
              <w:ind w:left="720"/>
              <w:jc w:val="both"/>
              <w:rPr>
                <w:rFonts w:eastAsia="Arimo"/>
              </w:rPr>
            </w:pPr>
            <w:r>
              <w:t>Междинно - 12 [202</w:t>
            </w:r>
            <w:r w:rsidRPr="004E48B4">
              <w:t>3</w:t>
            </w:r>
            <w:r w:rsidR="00595549">
              <w:t xml:space="preserve"> г.]</w:t>
            </w:r>
          </w:p>
          <w:p w14:paraId="0338D53F" w14:textId="77777777" w:rsidR="00595549" w:rsidRDefault="00595549" w:rsidP="00571AF6">
            <w:pPr>
              <w:widowControl w:val="0"/>
              <w:ind w:left="720"/>
              <w:jc w:val="both"/>
            </w:pPr>
            <w:r>
              <w:t xml:space="preserve">Цел - </w:t>
            </w:r>
            <w:r w:rsidR="00571AF6">
              <w:t>20</w:t>
            </w:r>
            <w:r>
              <w:t xml:space="preserve"> [202</w:t>
            </w:r>
            <w:r w:rsidR="00571AF6">
              <w:t>5</w:t>
            </w:r>
            <w:r>
              <w:t xml:space="preserve"> г.]</w:t>
            </w:r>
          </w:p>
          <w:p w14:paraId="48C20109" w14:textId="46DFA9C9" w:rsidR="00655781" w:rsidRPr="00571AF6" w:rsidRDefault="00655781" w:rsidP="00387E44">
            <w:pPr>
              <w:widowControl w:val="0"/>
              <w:ind w:left="720"/>
              <w:jc w:val="both"/>
              <w:rPr>
                <w:rFonts w:eastAsia="Arimo"/>
              </w:rPr>
            </w:pPr>
          </w:p>
        </w:tc>
      </w:tr>
      <w:tr w:rsidR="00595549" w:rsidRPr="00223742" w14:paraId="7135A5C9" w14:textId="77777777" w:rsidTr="00AF42A3">
        <w:tc>
          <w:tcPr>
            <w:tcW w:w="9314" w:type="dxa"/>
            <w:shd w:val="clear" w:color="auto" w:fill="auto"/>
            <w:tcMar>
              <w:top w:w="100" w:type="dxa"/>
              <w:left w:w="100" w:type="dxa"/>
              <w:bottom w:w="100" w:type="dxa"/>
              <w:right w:w="100" w:type="dxa"/>
            </w:tcMar>
          </w:tcPr>
          <w:p w14:paraId="2739D88F" w14:textId="77777777" w:rsidR="00595549" w:rsidRPr="00223742" w:rsidRDefault="00595549" w:rsidP="004F3A87">
            <w:pPr>
              <w:pStyle w:val="ListParagraph"/>
              <w:widowControl w:val="0"/>
              <w:numPr>
                <w:ilvl w:val="0"/>
                <w:numId w:val="12"/>
              </w:numPr>
              <w:pBdr>
                <w:top w:val="nil"/>
                <w:left w:val="nil"/>
                <w:bottom w:val="nil"/>
                <w:right w:val="nil"/>
                <w:between w:val="nil"/>
              </w:pBdr>
              <w:jc w:val="both"/>
              <w:rPr>
                <w:b/>
              </w:rPr>
            </w:pPr>
            <w:r>
              <w:rPr>
                <w:b/>
              </w:rPr>
              <w:t>Проектът изисква ли откриване на процедура съгласно Закона за обществените поръчки (ЗОП)?</w:t>
            </w:r>
          </w:p>
        </w:tc>
      </w:tr>
      <w:tr w:rsidR="00595549" w:rsidRPr="00223742" w14:paraId="77E4BC7D" w14:textId="77777777" w:rsidTr="00AF42A3">
        <w:tc>
          <w:tcPr>
            <w:tcW w:w="9314" w:type="dxa"/>
            <w:shd w:val="clear" w:color="auto" w:fill="auto"/>
            <w:tcMar>
              <w:top w:w="100" w:type="dxa"/>
              <w:left w:w="100" w:type="dxa"/>
              <w:bottom w:w="100" w:type="dxa"/>
              <w:right w:w="100" w:type="dxa"/>
            </w:tcMar>
          </w:tcPr>
          <w:p w14:paraId="4915D910" w14:textId="77777777" w:rsidR="00964980" w:rsidRDefault="00964980" w:rsidP="00047729">
            <w:pPr>
              <w:widowControl w:val="0"/>
              <w:pBdr>
                <w:top w:val="nil"/>
                <w:left w:val="nil"/>
                <w:bottom w:val="nil"/>
                <w:right w:val="nil"/>
                <w:between w:val="nil"/>
              </w:pBdr>
              <w:spacing w:line="240" w:lineRule="auto"/>
              <w:jc w:val="both"/>
            </w:pPr>
          </w:p>
          <w:p w14:paraId="5448919A" w14:textId="5B7C1816" w:rsidR="00047729" w:rsidRDefault="00047729" w:rsidP="00047729">
            <w:pPr>
              <w:widowControl w:val="0"/>
              <w:pBdr>
                <w:top w:val="nil"/>
                <w:left w:val="nil"/>
                <w:bottom w:val="nil"/>
                <w:right w:val="nil"/>
                <w:between w:val="nil"/>
              </w:pBdr>
              <w:spacing w:line="240" w:lineRule="auto"/>
              <w:jc w:val="both"/>
            </w:pPr>
            <w:r>
              <w:t>Необходими са три</w:t>
            </w:r>
            <w:r w:rsidR="00387E44">
              <w:t xml:space="preserve"> </w:t>
            </w:r>
            <w:r>
              <w:t>процедури по ЗОП, както следва</w:t>
            </w:r>
          </w:p>
          <w:p w14:paraId="7F06911D" w14:textId="77777777" w:rsidR="00047729" w:rsidRDefault="00047729" w:rsidP="004F3A87">
            <w:pPr>
              <w:pStyle w:val="ListParagraph"/>
              <w:widowControl w:val="0"/>
              <w:numPr>
                <w:ilvl w:val="0"/>
                <w:numId w:val="9"/>
              </w:numPr>
              <w:pBdr>
                <w:top w:val="nil"/>
                <w:left w:val="nil"/>
                <w:bottom w:val="nil"/>
                <w:right w:val="nil"/>
                <w:between w:val="nil"/>
              </w:pBdr>
              <w:spacing w:line="240" w:lineRule="auto"/>
              <w:jc w:val="both"/>
            </w:pPr>
            <w:r>
              <w:t>Дейност 1. /Под-дейност 1.4.2. „Цифровизация на процесите в НФК“. Разработването и внедряването на софтуер изисква търг за доставка, съгласно ЗОП.</w:t>
            </w:r>
          </w:p>
          <w:p w14:paraId="39FA1360" w14:textId="77777777" w:rsidR="00047729" w:rsidRDefault="00047729" w:rsidP="004F3A87">
            <w:pPr>
              <w:pStyle w:val="ListParagraph"/>
              <w:widowControl w:val="0"/>
              <w:numPr>
                <w:ilvl w:val="0"/>
                <w:numId w:val="9"/>
              </w:numPr>
              <w:pBdr>
                <w:top w:val="nil"/>
                <w:left w:val="nil"/>
                <w:bottom w:val="nil"/>
                <w:right w:val="nil"/>
                <w:between w:val="nil"/>
              </w:pBdr>
              <w:spacing w:line="240" w:lineRule="auto"/>
              <w:jc w:val="both"/>
            </w:pPr>
            <w:r>
              <w:t>Дейност 1. /Под-дейност</w:t>
            </w:r>
            <w:r w:rsidRPr="00FC1CEE">
              <w:t xml:space="preserve"> 1.5. </w:t>
            </w:r>
            <w:r>
              <w:t>„</w:t>
            </w:r>
            <w:r w:rsidRPr="00FC1CEE">
              <w:t>Оценка и анализ на изпълнението на проекта</w:t>
            </w:r>
            <w:r>
              <w:t>“ изисква търг за услуга, съгласно ЗОП.</w:t>
            </w:r>
          </w:p>
          <w:p w14:paraId="49C61DDF" w14:textId="3CF58218" w:rsidR="00047729" w:rsidRDefault="00047729" w:rsidP="004F3A87">
            <w:pPr>
              <w:pStyle w:val="ListParagraph"/>
              <w:widowControl w:val="0"/>
              <w:numPr>
                <w:ilvl w:val="0"/>
                <w:numId w:val="9"/>
              </w:numPr>
              <w:pBdr>
                <w:top w:val="nil"/>
                <w:left w:val="nil"/>
                <w:bottom w:val="nil"/>
                <w:right w:val="nil"/>
                <w:between w:val="nil"/>
              </w:pBdr>
              <w:spacing w:line="240" w:lineRule="auto"/>
              <w:jc w:val="both"/>
            </w:pPr>
            <w:r>
              <w:t>Дейност 5. /Под-дейност</w:t>
            </w:r>
            <w:r w:rsidRPr="00EA52BB">
              <w:t xml:space="preserve"> </w:t>
            </w:r>
            <w:r>
              <w:t>5.1. „</w:t>
            </w:r>
            <w:r w:rsidRPr="00EA52BB">
              <w:t>Обучителна програма за нови управленски практики на администрацията на КТИ от държавния, общински и независим сектор</w:t>
            </w:r>
            <w:r>
              <w:t>“ изисква търг за услуга, съгласно ЗОП.</w:t>
            </w:r>
          </w:p>
          <w:p w14:paraId="318CA4EB" w14:textId="77777777" w:rsidR="00EF372F" w:rsidRDefault="00EF372F" w:rsidP="00EF372F">
            <w:pPr>
              <w:pStyle w:val="ListParagraph"/>
              <w:widowControl w:val="0"/>
              <w:pBdr>
                <w:top w:val="nil"/>
                <w:left w:val="nil"/>
                <w:bottom w:val="nil"/>
                <w:right w:val="nil"/>
                <w:between w:val="nil"/>
              </w:pBdr>
              <w:spacing w:line="240" w:lineRule="auto"/>
              <w:jc w:val="both"/>
            </w:pPr>
          </w:p>
          <w:p w14:paraId="32506B4E" w14:textId="77777777" w:rsidR="00595549" w:rsidRDefault="00047729" w:rsidP="00047729">
            <w:pPr>
              <w:widowControl w:val="0"/>
              <w:pBdr>
                <w:top w:val="nil"/>
                <w:left w:val="nil"/>
                <w:bottom w:val="nil"/>
                <w:right w:val="nil"/>
                <w:between w:val="nil"/>
              </w:pBdr>
              <w:spacing w:line="240" w:lineRule="auto"/>
              <w:jc w:val="both"/>
            </w:pPr>
            <w:r>
              <w:t>Предвиждат се няколко търга за услуги с пряко договаряне по ЗОП</w:t>
            </w:r>
            <w:r w:rsidR="0052769D">
              <w:t xml:space="preserve"> или подписване на индивидуални договори, съгласно законодателството, за подготовка на пакетите за кандидатстване на схемите за безвъзмездна помощ, мониторинг, оценка и верификация</w:t>
            </w:r>
            <w:r w:rsidR="007F1BC8" w:rsidRPr="007F1BC8">
              <w:t xml:space="preserve"> </w:t>
            </w:r>
            <w:r w:rsidR="007F1BC8">
              <w:t>на договорите с бенефициентите.</w:t>
            </w:r>
          </w:p>
          <w:p w14:paraId="322606EF" w14:textId="7B9F88CF" w:rsidR="00EF372F" w:rsidRPr="007F1BC8" w:rsidRDefault="00EF372F" w:rsidP="00047729">
            <w:pPr>
              <w:widowControl w:val="0"/>
              <w:pBdr>
                <w:top w:val="nil"/>
                <w:left w:val="nil"/>
                <w:bottom w:val="nil"/>
                <w:right w:val="nil"/>
                <w:between w:val="nil"/>
              </w:pBdr>
              <w:spacing w:line="240" w:lineRule="auto"/>
              <w:jc w:val="both"/>
            </w:pPr>
          </w:p>
        </w:tc>
      </w:tr>
      <w:tr w:rsidR="00595549" w:rsidRPr="00223742" w14:paraId="6DE2A59C" w14:textId="77777777" w:rsidTr="00AF42A3">
        <w:tc>
          <w:tcPr>
            <w:tcW w:w="9314" w:type="dxa"/>
            <w:shd w:val="clear" w:color="auto" w:fill="auto"/>
            <w:tcMar>
              <w:top w:w="100" w:type="dxa"/>
              <w:left w:w="100" w:type="dxa"/>
              <w:bottom w:w="100" w:type="dxa"/>
              <w:right w:w="100" w:type="dxa"/>
            </w:tcMar>
          </w:tcPr>
          <w:p w14:paraId="1D1FF40F" w14:textId="77777777" w:rsidR="00595549" w:rsidRPr="00223742" w:rsidRDefault="00595549" w:rsidP="004F3A87">
            <w:pPr>
              <w:pStyle w:val="ListParagraph"/>
              <w:widowControl w:val="0"/>
              <w:numPr>
                <w:ilvl w:val="1"/>
                <w:numId w:val="12"/>
              </w:numPr>
              <w:pBdr>
                <w:top w:val="nil"/>
                <w:left w:val="nil"/>
                <w:bottom w:val="nil"/>
                <w:right w:val="nil"/>
                <w:between w:val="nil"/>
              </w:pBdr>
              <w:jc w:val="both"/>
              <w:rPr>
                <w:b/>
              </w:rPr>
            </w:pPr>
            <w:r>
              <w:rPr>
                <w:b/>
              </w:rPr>
              <w:t>Ако се изисква процедура по ЗОП, каква част от дейностите и финансовите ресурси ще бъдат предмет на обществената поръчка?</w:t>
            </w:r>
          </w:p>
        </w:tc>
      </w:tr>
      <w:tr w:rsidR="00595549" w:rsidRPr="00223742" w14:paraId="0FE618AE" w14:textId="77777777" w:rsidTr="00AF42A3">
        <w:trPr>
          <w:trHeight w:val="450"/>
        </w:trPr>
        <w:tc>
          <w:tcPr>
            <w:tcW w:w="9314" w:type="dxa"/>
            <w:shd w:val="clear" w:color="auto" w:fill="auto"/>
            <w:tcMar>
              <w:top w:w="100" w:type="dxa"/>
              <w:left w:w="100" w:type="dxa"/>
              <w:bottom w:w="100" w:type="dxa"/>
              <w:right w:w="100" w:type="dxa"/>
            </w:tcMar>
          </w:tcPr>
          <w:p w14:paraId="336AD618" w14:textId="77777777" w:rsidR="00964980" w:rsidRDefault="00964980" w:rsidP="00B01B9F">
            <w:pPr>
              <w:widowControl w:val="0"/>
              <w:pBdr>
                <w:top w:val="nil"/>
                <w:left w:val="nil"/>
                <w:bottom w:val="nil"/>
                <w:right w:val="nil"/>
                <w:between w:val="nil"/>
              </w:pBdr>
              <w:spacing w:line="240" w:lineRule="auto"/>
              <w:jc w:val="both"/>
            </w:pPr>
          </w:p>
          <w:p w14:paraId="3FA5DEFE" w14:textId="326095D7" w:rsidR="00B01B9F" w:rsidRDefault="007C77FC" w:rsidP="00B01B9F">
            <w:pPr>
              <w:widowControl w:val="0"/>
              <w:pBdr>
                <w:top w:val="nil"/>
                <w:left w:val="nil"/>
                <w:bottom w:val="nil"/>
                <w:right w:val="nil"/>
                <w:between w:val="nil"/>
              </w:pBdr>
              <w:spacing w:line="240" w:lineRule="auto"/>
              <w:jc w:val="both"/>
            </w:pPr>
            <w:r>
              <w:t xml:space="preserve">Необходими са </w:t>
            </w:r>
            <w:r w:rsidR="00660741">
              <w:t>три</w:t>
            </w:r>
            <w:r>
              <w:t xml:space="preserve"> процедури по ЗОП, както следва</w:t>
            </w:r>
          </w:p>
          <w:p w14:paraId="1FF28695" w14:textId="503B8EA2" w:rsidR="00151BB9" w:rsidRDefault="00B01B9F" w:rsidP="004F3A87">
            <w:pPr>
              <w:pStyle w:val="ListParagraph"/>
              <w:widowControl w:val="0"/>
              <w:numPr>
                <w:ilvl w:val="0"/>
                <w:numId w:val="9"/>
              </w:numPr>
              <w:pBdr>
                <w:top w:val="nil"/>
                <w:left w:val="nil"/>
                <w:bottom w:val="nil"/>
                <w:right w:val="nil"/>
                <w:between w:val="nil"/>
              </w:pBdr>
              <w:spacing w:line="240" w:lineRule="auto"/>
              <w:jc w:val="both"/>
            </w:pPr>
            <w:r>
              <w:t>Дейност 1</w:t>
            </w:r>
            <w:r w:rsidR="00EA52BB">
              <w:t>.</w:t>
            </w:r>
            <w:r w:rsidR="00A11F47">
              <w:t xml:space="preserve"> </w:t>
            </w:r>
            <w:r>
              <w:t>/Под</w:t>
            </w:r>
            <w:r w:rsidR="004E4B3B">
              <w:t>-</w:t>
            </w:r>
            <w:r>
              <w:t>дейност 1.4.</w:t>
            </w:r>
            <w:r w:rsidR="003C6025">
              <w:t xml:space="preserve">2. </w:t>
            </w:r>
            <w:r w:rsidR="00C22A59">
              <w:t>„</w:t>
            </w:r>
            <w:r w:rsidR="009E3B42">
              <w:t>Ц</w:t>
            </w:r>
            <w:r>
              <w:t>ифровизация на процесите</w:t>
            </w:r>
            <w:r w:rsidR="009E3B42">
              <w:t xml:space="preserve"> в НФК</w:t>
            </w:r>
            <w:r w:rsidR="00C22A59">
              <w:t>“</w:t>
            </w:r>
            <w:r>
              <w:t xml:space="preserve">. </w:t>
            </w:r>
            <w:r w:rsidR="00C50A37">
              <w:t>Т</w:t>
            </w:r>
            <w:r>
              <w:t>ърг</w:t>
            </w:r>
            <w:r w:rsidR="00C50A37">
              <w:t>ът</w:t>
            </w:r>
            <w:r>
              <w:t xml:space="preserve"> за доставка</w:t>
            </w:r>
            <w:r w:rsidR="00BB0CCB">
              <w:t xml:space="preserve"> е </w:t>
            </w:r>
            <w:r w:rsidR="003817DF">
              <w:t>38</w:t>
            </w:r>
            <w:r w:rsidR="009A148B">
              <w:t>.</w:t>
            </w:r>
            <w:r w:rsidR="008030E7">
              <w:t>6</w:t>
            </w:r>
            <w:r w:rsidR="00BB0CCB">
              <w:t xml:space="preserve">% от бюджета на Дейност 5 и </w:t>
            </w:r>
            <w:r w:rsidR="0090661B">
              <w:t>1</w:t>
            </w:r>
            <w:r w:rsidR="009A148B">
              <w:t>.</w:t>
            </w:r>
            <w:r w:rsidR="0090661B">
              <w:t>1</w:t>
            </w:r>
            <w:r w:rsidR="00BB0CCB">
              <w:t>% от общия бюджет на проекта.</w:t>
            </w:r>
          </w:p>
          <w:p w14:paraId="5C1806EC" w14:textId="02553D0F" w:rsidR="00A6411E" w:rsidRDefault="000D26AC" w:rsidP="004F3A87">
            <w:pPr>
              <w:pStyle w:val="ListParagraph"/>
              <w:widowControl w:val="0"/>
              <w:numPr>
                <w:ilvl w:val="0"/>
                <w:numId w:val="9"/>
              </w:numPr>
              <w:pBdr>
                <w:top w:val="nil"/>
                <w:left w:val="nil"/>
                <w:bottom w:val="nil"/>
                <w:right w:val="nil"/>
                <w:between w:val="nil"/>
              </w:pBdr>
              <w:spacing w:line="240" w:lineRule="auto"/>
              <w:jc w:val="both"/>
            </w:pPr>
            <w:r>
              <w:t>Дейност 1</w:t>
            </w:r>
            <w:r w:rsidR="00EA52BB">
              <w:t>.</w:t>
            </w:r>
            <w:r>
              <w:t xml:space="preserve"> /Под-дейност</w:t>
            </w:r>
            <w:r w:rsidRPr="00FC1CEE">
              <w:t xml:space="preserve"> </w:t>
            </w:r>
            <w:r w:rsidR="00FC1CEE" w:rsidRPr="00FC1CEE">
              <w:t xml:space="preserve">1.5. </w:t>
            </w:r>
            <w:r w:rsidR="00C22A59">
              <w:t>„</w:t>
            </w:r>
            <w:r w:rsidR="00FC1CEE" w:rsidRPr="00FC1CEE">
              <w:t>Оценка и анализ на изпълнението на проекта</w:t>
            </w:r>
            <w:r w:rsidR="00C22A59">
              <w:t>“</w:t>
            </w:r>
            <w:r w:rsidR="00392EF1">
              <w:t xml:space="preserve">. Търгът за услуги е </w:t>
            </w:r>
            <w:r w:rsidR="006E1C54">
              <w:t>4.3</w:t>
            </w:r>
            <w:r w:rsidR="00392EF1">
              <w:t>% от бюджета на Дейност 5 и 0.</w:t>
            </w:r>
            <w:r w:rsidR="005474BA">
              <w:t>12</w:t>
            </w:r>
            <w:r w:rsidR="00392EF1">
              <w:t>% от общия бюджет на проекта.</w:t>
            </w:r>
          </w:p>
          <w:p w14:paraId="09BF56D9" w14:textId="10DE640E" w:rsidR="00DB739B" w:rsidRDefault="00151BB9" w:rsidP="004F3A87">
            <w:pPr>
              <w:pStyle w:val="ListParagraph"/>
              <w:widowControl w:val="0"/>
              <w:numPr>
                <w:ilvl w:val="0"/>
                <w:numId w:val="9"/>
              </w:numPr>
              <w:pBdr>
                <w:top w:val="nil"/>
                <w:left w:val="nil"/>
                <w:bottom w:val="nil"/>
                <w:right w:val="nil"/>
                <w:between w:val="nil"/>
              </w:pBdr>
              <w:spacing w:line="240" w:lineRule="auto"/>
              <w:jc w:val="both"/>
            </w:pPr>
            <w:r>
              <w:lastRenderedPageBreak/>
              <w:t xml:space="preserve">Дейност 5. </w:t>
            </w:r>
            <w:r w:rsidR="00EA52BB">
              <w:t>/Под-дейност</w:t>
            </w:r>
            <w:r w:rsidR="00EA52BB" w:rsidRPr="00EA52BB">
              <w:t xml:space="preserve"> </w:t>
            </w:r>
            <w:r w:rsidR="000C1C31">
              <w:t xml:space="preserve">5.1. </w:t>
            </w:r>
            <w:r w:rsidR="00C22A59">
              <w:t>„</w:t>
            </w:r>
            <w:r w:rsidR="00EA52BB" w:rsidRPr="00EA52BB">
              <w:t>Обучителна програма за нови управленски практики на администрацията на КТИ от държавния, общински и независим сектор</w:t>
            </w:r>
            <w:r w:rsidR="00C22A59">
              <w:t>“</w:t>
            </w:r>
            <w:r w:rsidR="00DB739B">
              <w:t>.</w:t>
            </w:r>
            <w:r>
              <w:t xml:space="preserve"> </w:t>
            </w:r>
            <w:r w:rsidR="00DB739B">
              <w:t xml:space="preserve">Търгът за </w:t>
            </w:r>
            <w:r w:rsidR="00C75A16">
              <w:t>услуги</w:t>
            </w:r>
            <w:r w:rsidR="00DB739B">
              <w:t xml:space="preserve"> е 6</w:t>
            </w:r>
            <w:r w:rsidR="00A318B6">
              <w:t>3.5</w:t>
            </w:r>
            <w:r w:rsidR="00A24630">
              <w:t xml:space="preserve">% от бюджета на Дейност 5 </w:t>
            </w:r>
            <w:r w:rsidR="009C2E57">
              <w:t xml:space="preserve">и </w:t>
            </w:r>
            <w:r w:rsidR="001B70D8">
              <w:t>0.</w:t>
            </w:r>
            <w:r w:rsidR="00B12C76">
              <w:t>56% от общия бюджет на проекта.</w:t>
            </w:r>
          </w:p>
          <w:p w14:paraId="3EB11ADE" w14:textId="77777777" w:rsidR="004E29B7" w:rsidRDefault="004E29B7" w:rsidP="004E29B7">
            <w:pPr>
              <w:pStyle w:val="ListParagraph"/>
              <w:widowControl w:val="0"/>
              <w:pBdr>
                <w:top w:val="nil"/>
                <w:left w:val="nil"/>
                <w:bottom w:val="nil"/>
                <w:right w:val="nil"/>
                <w:between w:val="nil"/>
              </w:pBdr>
              <w:spacing w:line="240" w:lineRule="auto"/>
              <w:jc w:val="both"/>
            </w:pPr>
          </w:p>
          <w:p w14:paraId="2453EF45" w14:textId="77777777" w:rsidR="00B2444E" w:rsidRDefault="00B01B9F" w:rsidP="00DD2397">
            <w:pPr>
              <w:widowControl w:val="0"/>
              <w:pBdr>
                <w:top w:val="nil"/>
                <w:left w:val="nil"/>
                <w:bottom w:val="nil"/>
                <w:right w:val="nil"/>
                <w:between w:val="nil"/>
              </w:pBdr>
              <w:spacing w:line="240" w:lineRule="auto"/>
              <w:jc w:val="both"/>
            </w:pPr>
            <w:r>
              <w:t>Предвиждат се няколко търга за услуги с пряко договаряне по ЗОП</w:t>
            </w:r>
            <w:r w:rsidR="00DD2397">
              <w:t xml:space="preserve"> или подписване на индивидуални договори</w:t>
            </w:r>
            <w:r w:rsidR="006A3CD0">
              <w:t>, съгласно законодателството</w:t>
            </w:r>
            <w:r w:rsidR="00DD2397">
              <w:t xml:space="preserve">, </w:t>
            </w:r>
            <w:r w:rsidR="00942555">
              <w:t xml:space="preserve">за подготовка на пакетите </w:t>
            </w:r>
            <w:r w:rsidR="00B779B3">
              <w:t>за кандидатстване на схемите за безвъзмездна помощ</w:t>
            </w:r>
            <w:r w:rsidR="00D52261">
              <w:t>, мониторинг, оценка и верификация</w:t>
            </w:r>
            <w:r w:rsidR="007F1BC8">
              <w:t xml:space="preserve"> на договорите с бенефициентите</w:t>
            </w:r>
            <w:r w:rsidR="00D52261">
              <w:t>,</w:t>
            </w:r>
            <w:r w:rsidR="00B779B3">
              <w:t xml:space="preserve"> </w:t>
            </w:r>
            <w:r w:rsidR="00DD2397">
              <w:t>като общата стойност</w:t>
            </w:r>
            <w:r w:rsidR="006A3CD0">
              <w:t xml:space="preserve"> е</w:t>
            </w:r>
            <w:r w:rsidR="00813CE9">
              <w:t xml:space="preserve"> от </w:t>
            </w:r>
            <w:r w:rsidR="00720358">
              <w:t>0</w:t>
            </w:r>
            <w:r w:rsidR="00261424">
              <w:t>.36% от общия бюджет на проекта</w:t>
            </w:r>
            <w:r w:rsidR="0052769D">
              <w:t>.</w:t>
            </w:r>
          </w:p>
          <w:p w14:paraId="2AF83A6C" w14:textId="183E2D13" w:rsidR="00494764" w:rsidRPr="00223742" w:rsidRDefault="00494764" w:rsidP="00DD2397">
            <w:pPr>
              <w:widowControl w:val="0"/>
              <w:pBdr>
                <w:top w:val="nil"/>
                <w:left w:val="nil"/>
                <w:bottom w:val="nil"/>
                <w:right w:val="nil"/>
                <w:between w:val="nil"/>
              </w:pBdr>
              <w:spacing w:line="240" w:lineRule="auto"/>
              <w:jc w:val="both"/>
            </w:pPr>
          </w:p>
        </w:tc>
      </w:tr>
      <w:tr w:rsidR="00595549" w:rsidRPr="00223742" w14:paraId="7CDC994A" w14:textId="77777777" w:rsidTr="00AF42A3">
        <w:trPr>
          <w:trHeight w:val="450"/>
        </w:trPr>
        <w:tc>
          <w:tcPr>
            <w:tcW w:w="9314" w:type="dxa"/>
            <w:shd w:val="clear" w:color="auto" w:fill="auto"/>
            <w:tcMar>
              <w:top w:w="100" w:type="dxa"/>
              <w:left w:w="100" w:type="dxa"/>
              <w:bottom w:w="100" w:type="dxa"/>
              <w:right w:w="100" w:type="dxa"/>
            </w:tcMar>
          </w:tcPr>
          <w:p w14:paraId="094D7DB7" w14:textId="77777777" w:rsidR="00595549" w:rsidRPr="00223742" w:rsidRDefault="00595549" w:rsidP="004F3A87">
            <w:pPr>
              <w:pStyle w:val="ListParagraph"/>
              <w:widowControl w:val="0"/>
              <w:numPr>
                <w:ilvl w:val="1"/>
                <w:numId w:val="12"/>
              </w:numPr>
              <w:jc w:val="both"/>
              <w:rPr>
                <w:b/>
              </w:rPr>
            </w:pPr>
            <w:r>
              <w:rPr>
                <w:b/>
              </w:rPr>
              <w:lastRenderedPageBreak/>
              <w:t>Ако се изисква процедура по ЗОП, какъв е индикативният график за нейното изпълнение?</w:t>
            </w:r>
          </w:p>
        </w:tc>
      </w:tr>
      <w:tr w:rsidR="00595549" w:rsidRPr="00223742" w14:paraId="0FDA2268" w14:textId="77777777" w:rsidTr="00AF42A3">
        <w:trPr>
          <w:trHeight w:val="450"/>
        </w:trPr>
        <w:tc>
          <w:tcPr>
            <w:tcW w:w="9314" w:type="dxa"/>
            <w:shd w:val="clear" w:color="auto" w:fill="auto"/>
            <w:tcMar>
              <w:top w:w="100" w:type="dxa"/>
              <w:left w:w="100" w:type="dxa"/>
              <w:bottom w:w="100" w:type="dxa"/>
              <w:right w:w="100" w:type="dxa"/>
            </w:tcMar>
          </w:tcPr>
          <w:p w14:paraId="6BF19A68" w14:textId="77777777" w:rsidR="00964980" w:rsidRDefault="00964980" w:rsidP="00C471BB">
            <w:pPr>
              <w:widowControl w:val="0"/>
              <w:pBdr>
                <w:top w:val="nil"/>
                <w:left w:val="nil"/>
                <w:bottom w:val="nil"/>
                <w:right w:val="nil"/>
                <w:between w:val="nil"/>
              </w:pBdr>
              <w:jc w:val="both"/>
            </w:pPr>
          </w:p>
          <w:p w14:paraId="501DD211" w14:textId="50306723" w:rsidR="002641C6" w:rsidRPr="00B47ACE" w:rsidRDefault="007627E3" w:rsidP="00C471BB">
            <w:pPr>
              <w:widowControl w:val="0"/>
              <w:pBdr>
                <w:top w:val="nil"/>
                <w:left w:val="nil"/>
                <w:bottom w:val="nil"/>
                <w:right w:val="nil"/>
                <w:between w:val="nil"/>
              </w:pBdr>
              <w:jc w:val="both"/>
            </w:pPr>
            <w:r>
              <w:t xml:space="preserve">Търгът </w:t>
            </w:r>
            <w:r w:rsidR="00A11F47">
              <w:t>по Дейност 1</w:t>
            </w:r>
            <w:r w:rsidR="00793D9D">
              <w:t>.</w:t>
            </w:r>
            <w:r w:rsidR="00A11F47">
              <w:t xml:space="preserve"> /Под-дейност 1.4.2. </w:t>
            </w:r>
            <w:r w:rsidR="00A30FED">
              <w:t>„</w:t>
            </w:r>
            <w:r w:rsidR="00A11F47">
              <w:t>Цифровизация на процесите в НФК</w:t>
            </w:r>
            <w:r w:rsidR="00A30FED">
              <w:t>“</w:t>
            </w:r>
            <w:r w:rsidR="00A11F47">
              <w:t xml:space="preserve"> </w:t>
            </w:r>
            <w:r>
              <w:t xml:space="preserve">ще бъде подготвен </w:t>
            </w:r>
            <w:r w:rsidR="001A7362">
              <w:t xml:space="preserve">и обявен </w:t>
            </w:r>
            <w:r w:rsidR="00436BD2">
              <w:t xml:space="preserve">през </w:t>
            </w:r>
            <w:r w:rsidR="008A2E28">
              <w:t>първото</w:t>
            </w:r>
            <w:r w:rsidR="00436BD2">
              <w:t xml:space="preserve"> тримесечие </w:t>
            </w:r>
            <w:r>
              <w:t>на 202</w:t>
            </w:r>
            <w:r w:rsidR="001A7362">
              <w:t>2</w:t>
            </w:r>
            <w:r>
              <w:t xml:space="preserve"> г. </w:t>
            </w:r>
          </w:p>
          <w:p w14:paraId="773B704B" w14:textId="4C1FBA4A" w:rsidR="003B6476" w:rsidRPr="00814FEC" w:rsidRDefault="008C1BBD" w:rsidP="003B6476">
            <w:pPr>
              <w:widowControl w:val="0"/>
              <w:pBdr>
                <w:top w:val="nil"/>
                <w:left w:val="nil"/>
                <w:bottom w:val="nil"/>
                <w:right w:val="nil"/>
                <w:between w:val="nil"/>
              </w:pBdr>
              <w:jc w:val="both"/>
            </w:pPr>
            <w:r>
              <w:t>Търгът за услуги по</w:t>
            </w:r>
            <w:r w:rsidR="00793D9D">
              <w:t xml:space="preserve"> Дейност 1. /Под-дейност</w:t>
            </w:r>
            <w:r w:rsidR="00793D9D" w:rsidRPr="00FC1CEE">
              <w:t xml:space="preserve"> 1.5. </w:t>
            </w:r>
            <w:r w:rsidR="00A30FED">
              <w:t>„</w:t>
            </w:r>
            <w:r w:rsidR="00A30FED" w:rsidRPr="00FC1CEE">
              <w:t>Оценка и анализ на изпълнението на проекта</w:t>
            </w:r>
            <w:r w:rsidR="00A30FED">
              <w:t xml:space="preserve">“ </w:t>
            </w:r>
            <w:r>
              <w:t>ще бъде подготвен и обявен през второто тримесечие на 202</w:t>
            </w:r>
            <w:r w:rsidR="002472A3">
              <w:t>5</w:t>
            </w:r>
            <w:r>
              <w:t xml:space="preserve"> г.</w:t>
            </w:r>
          </w:p>
          <w:p w14:paraId="703656B3" w14:textId="7B5CEF63" w:rsidR="00660741" w:rsidRDefault="00660741" w:rsidP="00E873F4">
            <w:pPr>
              <w:widowControl w:val="0"/>
              <w:pBdr>
                <w:top w:val="nil"/>
                <w:left w:val="nil"/>
                <w:bottom w:val="nil"/>
                <w:right w:val="nil"/>
                <w:between w:val="nil"/>
              </w:pBdr>
              <w:jc w:val="both"/>
            </w:pPr>
            <w:r>
              <w:t>Търгът по Дейност</w:t>
            </w:r>
            <w:r w:rsidR="00C22A59">
              <w:t xml:space="preserve"> 5. /Под-дейност</w:t>
            </w:r>
            <w:r w:rsidR="00C22A59" w:rsidRPr="00EA52BB">
              <w:t xml:space="preserve"> </w:t>
            </w:r>
            <w:r w:rsidR="00C22A59">
              <w:t xml:space="preserve">5.1. </w:t>
            </w:r>
            <w:r w:rsidR="00A30FED">
              <w:t>„</w:t>
            </w:r>
            <w:r w:rsidR="00C22A59" w:rsidRPr="00EA52BB">
              <w:t>Обучителна програма за нови управленски практики на администрацията на КТИ от държавния, общински и независим сектор</w:t>
            </w:r>
            <w:r w:rsidR="00E57220">
              <w:t>“</w:t>
            </w:r>
            <w:r w:rsidR="00C22A59">
              <w:t xml:space="preserve"> ще бъде подготвен и обявен през </w:t>
            </w:r>
            <w:r w:rsidR="00A36115">
              <w:t>третото</w:t>
            </w:r>
            <w:r w:rsidR="00C22A59">
              <w:t xml:space="preserve"> тримесечие на 202</w:t>
            </w:r>
            <w:r w:rsidR="00E873F4">
              <w:t>3</w:t>
            </w:r>
            <w:r w:rsidR="00C22A59">
              <w:t xml:space="preserve"> г.</w:t>
            </w:r>
          </w:p>
          <w:p w14:paraId="501290DD" w14:textId="77777777" w:rsidR="00E66CED" w:rsidRDefault="00793919" w:rsidP="00793919">
            <w:pPr>
              <w:widowControl w:val="0"/>
              <w:pBdr>
                <w:top w:val="nil"/>
                <w:left w:val="nil"/>
                <w:bottom w:val="nil"/>
                <w:right w:val="nil"/>
                <w:between w:val="nil"/>
              </w:pBdr>
              <w:spacing w:line="240" w:lineRule="auto"/>
              <w:jc w:val="both"/>
            </w:pPr>
            <w:r>
              <w:t>Търговете за услуги с пряко договаряне по ЗОП ще се изпълняват по график 4.</w:t>
            </w:r>
            <w:r w:rsidR="00E873F4">
              <w:t xml:space="preserve">, оказан </w:t>
            </w:r>
            <w:r>
              <w:t xml:space="preserve"> по-горе.</w:t>
            </w:r>
          </w:p>
          <w:p w14:paraId="35F1947C" w14:textId="5E00643E" w:rsidR="003F3E83" w:rsidRPr="00223742" w:rsidRDefault="003F3E83" w:rsidP="00793919">
            <w:pPr>
              <w:widowControl w:val="0"/>
              <w:pBdr>
                <w:top w:val="nil"/>
                <w:left w:val="nil"/>
                <w:bottom w:val="nil"/>
                <w:right w:val="nil"/>
                <w:between w:val="nil"/>
              </w:pBdr>
              <w:spacing w:line="240" w:lineRule="auto"/>
              <w:jc w:val="both"/>
            </w:pPr>
          </w:p>
        </w:tc>
      </w:tr>
      <w:tr w:rsidR="00595549" w:rsidRPr="00223742" w14:paraId="0192182A" w14:textId="77777777" w:rsidTr="00AF42A3">
        <w:tc>
          <w:tcPr>
            <w:tcW w:w="9314" w:type="dxa"/>
            <w:shd w:val="clear" w:color="auto" w:fill="auto"/>
            <w:tcMar>
              <w:top w:w="100" w:type="dxa"/>
              <w:left w:w="100" w:type="dxa"/>
              <w:bottom w:w="100" w:type="dxa"/>
              <w:right w:w="100" w:type="dxa"/>
            </w:tcMar>
          </w:tcPr>
          <w:p w14:paraId="3E669C97" w14:textId="77777777" w:rsidR="00595549" w:rsidRPr="00223742" w:rsidRDefault="00595549" w:rsidP="004F3A87">
            <w:pPr>
              <w:pStyle w:val="ListParagraph"/>
              <w:widowControl w:val="0"/>
              <w:numPr>
                <w:ilvl w:val="0"/>
                <w:numId w:val="12"/>
              </w:numPr>
              <w:jc w:val="both"/>
              <w:rPr>
                <w:b/>
              </w:rPr>
            </w:pPr>
            <w:r>
              <w:rPr>
                <w:b/>
              </w:rPr>
              <w:t>Разграничаване и взаимно допълване</w:t>
            </w:r>
          </w:p>
        </w:tc>
      </w:tr>
      <w:tr w:rsidR="00595549" w:rsidRPr="00223742" w14:paraId="3F9819D8" w14:textId="77777777" w:rsidTr="00AF42A3">
        <w:tc>
          <w:tcPr>
            <w:tcW w:w="9314" w:type="dxa"/>
            <w:shd w:val="clear" w:color="auto" w:fill="auto"/>
            <w:tcMar>
              <w:top w:w="100" w:type="dxa"/>
              <w:left w:w="100" w:type="dxa"/>
              <w:bottom w:w="100" w:type="dxa"/>
              <w:right w:w="100" w:type="dxa"/>
            </w:tcMar>
          </w:tcPr>
          <w:p w14:paraId="5CB5A56C" w14:textId="77777777" w:rsidR="00595549" w:rsidRPr="00223742" w:rsidRDefault="00595549" w:rsidP="004F3A87">
            <w:pPr>
              <w:pStyle w:val="ListParagraph"/>
              <w:widowControl w:val="0"/>
              <w:numPr>
                <w:ilvl w:val="1"/>
                <w:numId w:val="12"/>
              </w:numPr>
              <w:jc w:val="both"/>
              <w:rPr>
                <w:b/>
              </w:rPr>
            </w:pPr>
            <w:r>
              <w:rPr>
                <w:b/>
              </w:rPr>
              <w:t>Ако са изпълнени подобни проекти (независимо от техния източник на финансиране), опишете как този проект надгражда/допълва постигнатото с предишните проекти.</w:t>
            </w:r>
          </w:p>
        </w:tc>
      </w:tr>
      <w:tr w:rsidR="00595549" w:rsidRPr="00223742" w14:paraId="041DF463" w14:textId="77777777" w:rsidTr="00AF42A3">
        <w:tc>
          <w:tcPr>
            <w:tcW w:w="9314" w:type="dxa"/>
            <w:shd w:val="clear" w:color="auto" w:fill="auto"/>
            <w:tcMar>
              <w:top w:w="100" w:type="dxa"/>
              <w:left w:w="100" w:type="dxa"/>
              <w:bottom w:w="100" w:type="dxa"/>
              <w:right w:w="100" w:type="dxa"/>
            </w:tcMar>
          </w:tcPr>
          <w:p w14:paraId="3DA07835" w14:textId="77777777" w:rsidR="00964980" w:rsidRDefault="00964980" w:rsidP="000B1865"/>
          <w:p w14:paraId="7E3CDEFC" w14:textId="72262D30" w:rsidR="000B1865" w:rsidRPr="00607B69" w:rsidRDefault="000B1865" w:rsidP="000B1865">
            <w:r>
              <w:t>Законодателната и административна реформа в НФК, заложени в настоящия проект, ще съдейства</w:t>
            </w:r>
            <w:r w:rsidR="0019523C">
              <w:t>т</w:t>
            </w:r>
            <w:r>
              <w:t xml:space="preserve"> на НФК за преодоляване на дефинирани от последните години процедурни трудности и пропуски, и техните опити да бъдат преодолявани със спорадични недалновидни процедури</w:t>
            </w:r>
            <w:r w:rsidR="0019523C">
              <w:t>, обслужващи статуквото</w:t>
            </w:r>
            <w:r>
              <w:t xml:space="preserve">. </w:t>
            </w:r>
          </w:p>
          <w:p w14:paraId="3A4797E5" w14:textId="09B4F58D" w:rsidR="00B644BE" w:rsidRPr="00607B69" w:rsidRDefault="00733D13" w:rsidP="00B644BE">
            <w:r>
              <w:t xml:space="preserve">В рамките на </w:t>
            </w:r>
            <w:r w:rsidR="004E71B7">
              <w:t xml:space="preserve">националния </w:t>
            </w:r>
            <w:r w:rsidR="00405D98">
              <w:t>ЗЗРК</w:t>
            </w:r>
            <w:r>
              <w:t xml:space="preserve"> проектът надгражда </w:t>
            </w:r>
            <w:r w:rsidR="005E7DB3">
              <w:t xml:space="preserve">и актуализира </w:t>
            </w:r>
            <w:r>
              <w:t>възможностите</w:t>
            </w:r>
            <w:r w:rsidR="00B644BE">
              <w:t xml:space="preserve"> на</w:t>
            </w:r>
            <w:r>
              <w:t xml:space="preserve"> </w:t>
            </w:r>
            <w:r w:rsidR="001A6218">
              <w:t>НФК</w:t>
            </w:r>
            <w:r>
              <w:t xml:space="preserve"> и </w:t>
            </w:r>
            <w:r w:rsidR="00B644BE">
              <w:t>мисията</w:t>
            </w:r>
            <w:r>
              <w:t xml:space="preserve"> му</w:t>
            </w:r>
            <w:r w:rsidR="00B644BE">
              <w:t xml:space="preserve"> да</w:t>
            </w:r>
            <w:r w:rsidR="00B644BE" w:rsidRPr="00607B69">
              <w:t xml:space="preserve"> управлява проекти и програми с международн</w:t>
            </w:r>
            <w:r w:rsidR="00B644BE">
              <w:t xml:space="preserve">о, </w:t>
            </w:r>
            <w:r w:rsidR="00B644BE" w:rsidRPr="00607B69">
              <w:t>национално</w:t>
            </w:r>
            <w:r w:rsidR="00B644BE">
              <w:t xml:space="preserve"> </w:t>
            </w:r>
            <w:r w:rsidR="00B644BE" w:rsidRPr="00607B69">
              <w:t>и общинско значение</w:t>
            </w:r>
            <w:r w:rsidR="00FF0DD9">
              <w:t>;</w:t>
            </w:r>
            <w:r w:rsidR="00B644BE" w:rsidRPr="00607B69">
              <w:t xml:space="preserve"> </w:t>
            </w:r>
            <w:r w:rsidR="00FF0DD9">
              <w:t>да</w:t>
            </w:r>
            <w:r w:rsidR="00B644BE" w:rsidRPr="00607B69">
              <w:t xml:space="preserve"> съдейства за провеждане на националната политика в областта на културата, за създаване, съхраняване и разпространение на произведения на изкуството и културата, както и за опазване и популяризиране на културно-историческото наследство, научноизследователска дейност в областта на културата</w:t>
            </w:r>
            <w:r w:rsidR="00B644BE">
              <w:t>,</w:t>
            </w:r>
            <w:r w:rsidR="00B644BE" w:rsidRPr="00607B69">
              <w:t xml:space="preserve"> </w:t>
            </w:r>
            <w:r w:rsidR="00FF0DD9">
              <w:t xml:space="preserve">да </w:t>
            </w:r>
            <w:r w:rsidR="00B644BE" w:rsidRPr="00607B69">
              <w:t xml:space="preserve">подпомага международната културна дейност; </w:t>
            </w:r>
            <w:r w:rsidR="00FF0DD9">
              <w:t xml:space="preserve">да </w:t>
            </w:r>
            <w:r w:rsidR="00B644BE">
              <w:t xml:space="preserve">съдейства за </w:t>
            </w:r>
            <w:r w:rsidR="00B644BE" w:rsidRPr="00607B69">
              <w:t>усъвършенстване и развитие на структурата и качеството на образованието в областта на изкуството и културата.</w:t>
            </w:r>
            <w:r w:rsidR="00C21E3E">
              <w:t xml:space="preserve"> </w:t>
            </w:r>
          </w:p>
          <w:p w14:paraId="6887BC16" w14:textId="77777777" w:rsidR="00B644BE" w:rsidRPr="00223742" w:rsidRDefault="00B644BE" w:rsidP="00C471BB">
            <w:pPr>
              <w:rPr>
                <w:rFonts w:eastAsia="Arimo"/>
              </w:rPr>
            </w:pPr>
          </w:p>
          <w:p w14:paraId="114C1AA6" w14:textId="365259EC" w:rsidR="00733D13" w:rsidRPr="00223742" w:rsidRDefault="00733D13" w:rsidP="00C471BB">
            <w:pPr>
              <w:rPr>
                <w:rFonts w:eastAsia="Arimo"/>
              </w:rPr>
            </w:pPr>
            <w:r>
              <w:t xml:space="preserve">Проектът надгражда и постиженията на общинските културни политики и инструменти, които започнаха да се разработват активно през 2014 г. по отношение на българските </w:t>
            </w:r>
            <w:r>
              <w:lastRenderedPageBreak/>
              <w:t xml:space="preserve">номинации за Европейска столица на културата за 2019 г., по-специално в столицата София, както и в по-големи градски центрове като Пловдив (Европейска столица на културата за 2019 г.), Варна, Бургас и Габрово.  </w:t>
            </w:r>
          </w:p>
          <w:p w14:paraId="34146C40" w14:textId="77777777" w:rsidR="000A124F" w:rsidRDefault="000A124F" w:rsidP="0071221F">
            <w:pPr>
              <w:jc w:val="both"/>
            </w:pPr>
          </w:p>
          <w:p w14:paraId="03DD7308" w14:textId="030A0FFF" w:rsidR="00595549" w:rsidRDefault="00733D13" w:rsidP="0071221F">
            <w:pPr>
              <w:jc w:val="both"/>
            </w:pPr>
            <w:r>
              <w:t>Проектът е разработен с оглед на поуките, извлечени от изпълнението на редица мерки, предприети от българското правителство и Министерството на културата в периода март 2020 г. – декември 2020 г., за компенсиране на последиците от кризата с Covid-19 в областта на културата. Въпреки това проектът е замислен със стратегическо бъдещо развитие</w:t>
            </w:r>
            <w:r w:rsidR="009A3AFB">
              <w:t xml:space="preserve"> на сектора</w:t>
            </w:r>
            <w:r>
              <w:t xml:space="preserve">, а не </w:t>
            </w:r>
            <w:r w:rsidR="00B31CE0">
              <w:t xml:space="preserve">само </w:t>
            </w:r>
            <w:r>
              <w:t>кат</w:t>
            </w:r>
            <w:r w:rsidR="00B31CE0">
              <w:t>о</w:t>
            </w:r>
            <w:r>
              <w:t xml:space="preserve"> мярка за възстановяване. </w:t>
            </w:r>
          </w:p>
          <w:p w14:paraId="7E2A68E1" w14:textId="77777777" w:rsidR="0064512C" w:rsidRDefault="0064512C" w:rsidP="0071221F">
            <w:pPr>
              <w:jc w:val="both"/>
            </w:pPr>
          </w:p>
          <w:p w14:paraId="61EB20E9" w14:textId="3500654A" w:rsidR="0064512C" w:rsidRPr="00D44CFE" w:rsidRDefault="00D44CFE" w:rsidP="0071221F">
            <w:pPr>
              <w:jc w:val="both"/>
            </w:pPr>
            <w:r>
              <w:t>Дейностите на проекта</w:t>
            </w:r>
            <w:r w:rsidR="009672D3">
              <w:t xml:space="preserve">, най-вече на </w:t>
            </w:r>
            <w:r w:rsidR="00401DAE">
              <w:t>общинските политики,</w:t>
            </w:r>
            <w:r>
              <w:t xml:space="preserve"> дават смисъл и съдържание </w:t>
            </w:r>
            <w:r w:rsidR="007522B9">
              <w:t xml:space="preserve">на </w:t>
            </w:r>
            <w:r w:rsidR="00C57ABD">
              <w:t xml:space="preserve">вече </w:t>
            </w:r>
            <w:r w:rsidR="00497716">
              <w:t xml:space="preserve">осъществените </w:t>
            </w:r>
            <w:r w:rsidR="0099224A">
              <w:t xml:space="preserve">културни </w:t>
            </w:r>
            <w:r w:rsidR="0011423A">
              <w:t xml:space="preserve">инфраструктурни </w:t>
            </w:r>
            <w:r w:rsidR="0099224A">
              <w:t>проекти</w:t>
            </w:r>
            <w:r w:rsidR="007030B3">
              <w:t xml:space="preserve"> и разработени туристически продукти, финансирани от </w:t>
            </w:r>
            <w:r w:rsidR="00810C18" w:rsidRPr="00A56B58">
              <w:t xml:space="preserve">Европейските структурни </w:t>
            </w:r>
            <w:r w:rsidR="00810C18">
              <w:t xml:space="preserve">и инвестиционни </w:t>
            </w:r>
            <w:r w:rsidR="00810C18" w:rsidRPr="00A56B58">
              <w:t>фондове</w:t>
            </w:r>
            <w:r w:rsidR="00810C18">
              <w:t xml:space="preserve"> (ЕСИФ)</w:t>
            </w:r>
            <w:r w:rsidR="00810C18" w:rsidRPr="00A56B58">
              <w:t>.</w:t>
            </w:r>
            <w:r w:rsidR="007030B3">
              <w:t>.</w:t>
            </w:r>
          </w:p>
          <w:p w14:paraId="37E5C0B0" w14:textId="3E6355C0" w:rsidR="002409B9" w:rsidRPr="0071221F" w:rsidRDefault="002409B9" w:rsidP="0071221F">
            <w:pPr>
              <w:jc w:val="both"/>
              <w:rPr>
                <w:rFonts w:eastAsia="Arimo"/>
              </w:rPr>
            </w:pPr>
          </w:p>
        </w:tc>
      </w:tr>
      <w:tr w:rsidR="00595549" w:rsidRPr="00223742" w14:paraId="6D70CCFD" w14:textId="77777777" w:rsidTr="00AF42A3">
        <w:tc>
          <w:tcPr>
            <w:tcW w:w="9314" w:type="dxa"/>
            <w:shd w:val="clear" w:color="auto" w:fill="auto"/>
            <w:tcMar>
              <w:top w:w="100" w:type="dxa"/>
              <w:left w:w="100" w:type="dxa"/>
              <w:bottom w:w="100" w:type="dxa"/>
              <w:right w:w="100" w:type="dxa"/>
            </w:tcMar>
          </w:tcPr>
          <w:p w14:paraId="0C352248" w14:textId="77777777" w:rsidR="00595549" w:rsidRPr="00223742" w:rsidRDefault="00595549" w:rsidP="004F3A87">
            <w:pPr>
              <w:pStyle w:val="ListParagraph"/>
              <w:widowControl w:val="0"/>
              <w:numPr>
                <w:ilvl w:val="1"/>
                <w:numId w:val="12"/>
              </w:numPr>
              <w:jc w:val="both"/>
              <w:rPr>
                <w:b/>
              </w:rPr>
            </w:pPr>
            <w:r>
              <w:rPr>
                <w:b/>
              </w:rPr>
              <w:lastRenderedPageBreak/>
              <w:t>Ако подобни проекти се предвижда да бъдат изпълнени по програмите по Споразумението за партньорство, централно управляваните механизми на ЕС или Фонда за справедлив преход, то опишете разграничаването от този проект.</w:t>
            </w:r>
          </w:p>
        </w:tc>
      </w:tr>
      <w:tr w:rsidR="00595549" w:rsidRPr="00223742" w14:paraId="283F11B6" w14:textId="77777777" w:rsidTr="00AF42A3">
        <w:tc>
          <w:tcPr>
            <w:tcW w:w="9314" w:type="dxa"/>
            <w:shd w:val="clear" w:color="auto" w:fill="auto"/>
            <w:tcMar>
              <w:top w:w="100" w:type="dxa"/>
              <w:left w:w="100" w:type="dxa"/>
              <w:bottom w:w="100" w:type="dxa"/>
              <w:right w:w="100" w:type="dxa"/>
            </w:tcMar>
          </w:tcPr>
          <w:p w14:paraId="56D9873E" w14:textId="77777777" w:rsidR="00964980" w:rsidRDefault="00964980" w:rsidP="00C471BB">
            <w:pPr>
              <w:widowControl w:val="0"/>
              <w:jc w:val="both"/>
            </w:pPr>
          </w:p>
          <w:p w14:paraId="44682A46" w14:textId="36362942" w:rsidR="009B49D1" w:rsidRDefault="006E73E4" w:rsidP="00C471BB">
            <w:pPr>
              <w:widowControl w:val="0"/>
              <w:jc w:val="both"/>
            </w:pPr>
            <w:r w:rsidRPr="006E73E4">
              <w:t>Не се предвижда изпълнение по други национални програми или програми на ЕС.</w:t>
            </w:r>
          </w:p>
          <w:p w14:paraId="58E6B631" w14:textId="5FE709F3" w:rsidR="00E66CED" w:rsidRPr="00A56B58" w:rsidRDefault="00E104A4" w:rsidP="00C471BB">
            <w:pPr>
              <w:widowControl w:val="0"/>
              <w:jc w:val="both"/>
            </w:pPr>
            <w:r>
              <w:t>Н</w:t>
            </w:r>
            <w:r w:rsidR="00532B2F">
              <w:t xml:space="preserve">еобходимо е да се отбележи </w:t>
            </w:r>
            <w:r w:rsidR="006D1DB1">
              <w:t>различията на настоящия проект</w:t>
            </w:r>
            <w:r w:rsidR="007D358D">
              <w:t xml:space="preserve"> с Програма „Творческа Европа“</w:t>
            </w:r>
            <w:r w:rsidR="00595AA9" w:rsidRPr="00595AA9">
              <w:t xml:space="preserve">, </w:t>
            </w:r>
            <w:r w:rsidR="003A45AA">
              <w:t>която е насочена основно към международно културно</w:t>
            </w:r>
            <w:r w:rsidR="006D1DB1">
              <w:t xml:space="preserve"> </w:t>
            </w:r>
            <w:r w:rsidR="00455735">
              <w:t>сътрудничество, то</w:t>
            </w:r>
            <w:r w:rsidR="00A57C3A">
              <w:t xml:space="preserve"> </w:t>
            </w:r>
            <w:r>
              <w:t xml:space="preserve">настоящият проект цели </w:t>
            </w:r>
            <w:r w:rsidR="0060087D">
              <w:t>подобряване на капацитета и устойчивостта на българските КТИ</w:t>
            </w:r>
            <w:r w:rsidR="003E4118">
              <w:t xml:space="preserve">, чрез </w:t>
            </w:r>
            <w:r w:rsidR="00FE0F89" w:rsidRPr="00607B69">
              <w:t>осъществяване на реформа в публичните разходи и децентрализация на културните политики</w:t>
            </w:r>
            <w:r w:rsidR="0060087D">
              <w:t>.</w:t>
            </w:r>
            <w:r w:rsidR="002B5BCA" w:rsidRPr="002B5BCA">
              <w:t xml:space="preserve"> </w:t>
            </w:r>
          </w:p>
          <w:p w14:paraId="74727BA7" w14:textId="63BB8511" w:rsidR="00112B23" w:rsidRDefault="00112B23" w:rsidP="00C471BB">
            <w:pPr>
              <w:widowControl w:val="0"/>
              <w:jc w:val="both"/>
            </w:pPr>
            <w:r w:rsidRPr="00A56B58">
              <w:t xml:space="preserve">Дейностите по проекта ще дадат добавена стойност с културно съдържание към предстоящото изпълнение на проекти, свързани с подобряване на културната инфраструктура, финансирани от </w:t>
            </w:r>
            <w:r w:rsidR="009C0CBB">
              <w:t>Е</w:t>
            </w:r>
            <w:r w:rsidR="004550AD">
              <w:t>СИФ</w:t>
            </w:r>
            <w:r w:rsidRPr="00A56B58">
              <w:t>.</w:t>
            </w:r>
          </w:p>
          <w:p w14:paraId="7D8291C3" w14:textId="77777777" w:rsidR="00FF7B38" w:rsidRPr="00607B69" w:rsidRDefault="00FF7B38" w:rsidP="00FF7B38">
            <w:pPr>
              <w:pStyle w:val="Body"/>
              <w:widowControl w:val="0"/>
              <w:jc w:val="both"/>
              <w:rPr>
                <w:rFonts w:ascii="Arial" w:cs="Arial"/>
                <w:u w:color="FF0000"/>
              </w:rPr>
            </w:pPr>
            <w:r w:rsidRPr="004F1BC3">
              <w:rPr>
                <w:rFonts w:ascii="Arial" w:cs="Arial"/>
              </w:rPr>
              <w:t>В България публичните власти са отговорни за разработването на устойчиви политики и културата е призната като неразделна част от тези начинания. Освен това много местни лидери наричат културата един от четирите стълба за устойчивото местно развитие. Като цяло българските общини са отговорни за опазването на материалните и нематериалните културни ценности, реставрацията и консервацията на паметници, както и за създаване на благоприятни условия за открита културна и творческа екосистема на местно ниво. В областта на културата подкрепата на ЕСИФ за общините е свързана предимно с инфраструктурни проекти. Докато с мерките, планирани в рамките на настоящия проект предопределят създаването на  жизнена, конкурентна и приобщаваща културна екосистема, която ще допринесе за създаването на нови пълноценни възможности за КТИ, ИТ сектора, туризма и образованието, МСП, бизнес и публични организации, които ще бъдат поставени в позицията на стимулатор на нов вид финансова стабилност в рамките на LEVERAGE сектора.</w:t>
            </w:r>
            <w:r w:rsidRPr="00607B69">
              <w:rPr>
                <w:rFonts w:ascii="Arial" w:cs="Arial"/>
              </w:rPr>
              <w:t xml:space="preserve"> </w:t>
            </w:r>
          </w:p>
          <w:p w14:paraId="51C7EAAB" w14:textId="77777777" w:rsidR="00FF7B38" w:rsidRPr="00A56B58" w:rsidRDefault="00FF7B38" w:rsidP="00C471BB">
            <w:pPr>
              <w:widowControl w:val="0"/>
              <w:jc w:val="both"/>
            </w:pPr>
          </w:p>
          <w:p w14:paraId="200984F9" w14:textId="6B05CF18" w:rsidR="009F0D57" w:rsidRPr="00405D98" w:rsidRDefault="009F0D57" w:rsidP="00C471BB">
            <w:pPr>
              <w:widowControl w:val="0"/>
              <w:jc w:val="both"/>
            </w:pPr>
          </w:p>
        </w:tc>
      </w:tr>
      <w:tr w:rsidR="00595549" w:rsidRPr="00223742" w14:paraId="413FF4EA" w14:textId="77777777" w:rsidTr="00AF42A3">
        <w:tc>
          <w:tcPr>
            <w:tcW w:w="9314" w:type="dxa"/>
            <w:shd w:val="clear" w:color="auto" w:fill="auto"/>
            <w:tcMar>
              <w:top w:w="100" w:type="dxa"/>
              <w:left w:w="100" w:type="dxa"/>
              <w:bottom w:w="100" w:type="dxa"/>
              <w:right w:w="100" w:type="dxa"/>
            </w:tcMar>
          </w:tcPr>
          <w:p w14:paraId="16973103" w14:textId="77777777" w:rsidR="00595549" w:rsidRPr="00223742" w:rsidRDefault="00595549" w:rsidP="004F3A87">
            <w:pPr>
              <w:pStyle w:val="ListParagraph"/>
              <w:widowControl w:val="0"/>
              <w:numPr>
                <w:ilvl w:val="0"/>
                <w:numId w:val="12"/>
              </w:numPr>
              <w:jc w:val="both"/>
              <w:rPr>
                <w:b/>
              </w:rPr>
            </w:pPr>
            <w:r>
              <w:rPr>
                <w:b/>
              </w:rPr>
              <w:lastRenderedPageBreak/>
              <w:t xml:space="preserve">Проектът допринася ли пряко за изпълнението на някоя от Специфичните препоръки на Съвета, отправени към България в рамките на Европейския семестър в периода 2017 г. – 2020 г.? </w:t>
            </w:r>
            <w:r>
              <w:rPr>
                <w:b/>
                <w:bCs/>
              </w:rPr>
              <w:t>Моля, посочете по какъв начин.</w:t>
            </w:r>
          </w:p>
        </w:tc>
      </w:tr>
      <w:tr w:rsidR="00595549" w:rsidRPr="00223742" w14:paraId="3EC22430" w14:textId="77777777" w:rsidTr="00AF42A3">
        <w:tc>
          <w:tcPr>
            <w:tcW w:w="9314" w:type="dxa"/>
            <w:shd w:val="clear" w:color="auto" w:fill="auto"/>
            <w:tcMar>
              <w:top w:w="100" w:type="dxa"/>
              <w:left w:w="100" w:type="dxa"/>
              <w:bottom w:w="100" w:type="dxa"/>
              <w:right w:w="100" w:type="dxa"/>
            </w:tcMar>
          </w:tcPr>
          <w:p w14:paraId="6F8AADB0" w14:textId="77777777" w:rsidR="00964980" w:rsidRDefault="00964980" w:rsidP="00410EF9">
            <w:pPr>
              <w:pStyle w:val="ManualConsidrant"/>
              <w:spacing w:line="276" w:lineRule="auto"/>
              <w:ind w:left="0" w:firstLine="0"/>
              <w:rPr>
                <w:rFonts w:ascii="Arial" w:hAnsi="Arial" w:cs="Arial"/>
                <w:sz w:val="22"/>
              </w:rPr>
            </w:pPr>
          </w:p>
          <w:p w14:paraId="4DA39105" w14:textId="70B51F9D" w:rsidR="00EF663E" w:rsidRPr="004D31BF" w:rsidRDefault="007A5D68" w:rsidP="00410EF9">
            <w:pPr>
              <w:pStyle w:val="ManualConsidrant"/>
              <w:spacing w:line="276" w:lineRule="auto"/>
              <w:ind w:left="0" w:firstLine="0"/>
              <w:rPr>
                <w:rFonts w:ascii="Arial" w:eastAsia="Arimo" w:hAnsi="Arial" w:cs="Arial"/>
                <w:sz w:val="22"/>
              </w:rPr>
            </w:pPr>
            <w:r w:rsidRPr="004D31BF">
              <w:rPr>
                <w:rFonts w:ascii="Arial" w:hAnsi="Arial" w:cs="Arial"/>
                <w:sz w:val="22"/>
              </w:rPr>
              <w:t>Проектът, чрез</w:t>
            </w:r>
            <w:r w:rsidR="00EF663E" w:rsidRPr="004D31BF">
              <w:rPr>
                <w:rFonts w:ascii="Arial" w:hAnsi="Arial" w:cs="Arial"/>
                <w:sz w:val="22"/>
              </w:rPr>
              <w:t xml:space="preserve"> </w:t>
            </w:r>
            <w:r w:rsidRPr="004D31BF">
              <w:rPr>
                <w:rFonts w:ascii="Arial" w:hAnsi="Arial" w:cs="Arial"/>
                <w:sz w:val="22"/>
              </w:rPr>
              <w:t>дейностите</w:t>
            </w:r>
            <w:r w:rsidR="00EF663E" w:rsidRPr="004D31BF">
              <w:rPr>
                <w:rFonts w:ascii="Arial" w:hAnsi="Arial" w:cs="Arial"/>
                <w:sz w:val="22"/>
              </w:rPr>
              <w:t xml:space="preserve"> 1 </w:t>
            </w:r>
            <w:r w:rsidRPr="004D31BF">
              <w:rPr>
                <w:rFonts w:ascii="Arial" w:hAnsi="Arial" w:cs="Arial"/>
                <w:sz w:val="22"/>
              </w:rPr>
              <w:t xml:space="preserve">и </w:t>
            </w:r>
            <w:r w:rsidR="002C5858" w:rsidRPr="004D31BF">
              <w:rPr>
                <w:rFonts w:ascii="Arial" w:hAnsi="Arial" w:cs="Arial"/>
                <w:sz w:val="22"/>
              </w:rPr>
              <w:t xml:space="preserve">5, кореспондира със </w:t>
            </w:r>
            <w:r w:rsidR="00EF663E" w:rsidRPr="004D31BF">
              <w:rPr>
                <w:rFonts w:ascii="Arial" w:hAnsi="Arial" w:cs="Arial"/>
                <w:sz w:val="22"/>
              </w:rPr>
              <w:t>СДП (17) от 2018 г., в която се определя, че „напредъкът в реформата на публичната администрация и електронното управление е бавен. Управлението в публичния сектор може да извлече полза от по-голяма прозрачност, по-ясни правила и дългосрочна перспектива. Освен това ролята на социалния диалог може да продължи да се развива, подпомагана, когато е необходимо, от публичните органи.“ Дейност</w:t>
            </w:r>
            <w:r w:rsidR="00F74134">
              <w:rPr>
                <w:rFonts w:ascii="Arial" w:hAnsi="Arial" w:cs="Arial"/>
                <w:sz w:val="22"/>
              </w:rPr>
              <w:t xml:space="preserve"> 1</w:t>
            </w:r>
            <w:r w:rsidR="00EF663E" w:rsidRPr="004D31BF">
              <w:rPr>
                <w:rFonts w:ascii="Arial" w:hAnsi="Arial" w:cs="Arial"/>
                <w:sz w:val="22"/>
              </w:rPr>
              <w:t xml:space="preserve"> е съгласувана и с 1-вата препоръка от СДП от 2018 г. с оглед „подобряване ... на ефикасността на публичните разходи, включително чрез засилване на прилагането на мерките.“ </w:t>
            </w:r>
            <w:r w:rsidR="0013195A" w:rsidRPr="004D31BF">
              <w:rPr>
                <w:rFonts w:ascii="Arial" w:hAnsi="Arial" w:cs="Arial"/>
                <w:sz w:val="22"/>
              </w:rPr>
              <w:t>Д</w:t>
            </w:r>
            <w:r w:rsidR="00EF663E" w:rsidRPr="004D31BF">
              <w:rPr>
                <w:rFonts w:ascii="Arial" w:hAnsi="Arial" w:cs="Arial"/>
                <w:sz w:val="22"/>
              </w:rPr>
              <w:t>ейност</w:t>
            </w:r>
            <w:r w:rsidR="00461126">
              <w:rPr>
                <w:rFonts w:ascii="Arial" w:hAnsi="Arial" w:cs="Arial"/>
                <w:sz w:val="22"/>
              </w:rPr>
              <w:t xml:space="preserve"> 1</w:t>
            </w:r>
            <w:r w:rsidR="00EF663E" w:rsidRPr="004D31BF">
              <w:rPr>
                <w:rFonts w:ascii="Arial" w:hAnsi="Arial" w:cs="Arial"/>
                <w:sz w:val="22"/>
              </w:rPr>
              <w:t xml:space="preserve"> </w:t>
            </w:r>
            <w:r w:rsidR="005F2141">
              <w:rPr>
                <w:rFonts w:ascii="Arial" w:hAnsi="Arial" w:cs="Arial"/>
                <w:sz w:val="22"/>
              </w:rPr>
              <w:t xml:space="preserve">реферира към </w:t>
            </w:r>
            <w:r w:rsidR="00EF663E" w:rsidRPr="004D31BF">
              <w:rPr>
                <w:rFonts w:ascii="Arial" w:hAnsi="Arial" w:cs="Arial"/>
                <w:sz w:val="22"/>
              </w:rPr>
              <w:t>СДП (7) от 2019 г., където се „очаква да се повиши качеството, ефикасността и прозрачността на публичните разходи, а оттам и количеството и качеството на обществените блага“, като се взема предвид СДП (16) от 2019 г. и (24) от 2020 г. относно ефективността на публичната администрация и електронното управление</w:t>
            </w:r>
            <w:r w:rsidR="00D55D8A">
              <w:rPr>
                <w:rFonts w:ascii="Arial" w:hAnsi="Arial" w:cs="Arial"/>
                <w:sz w:val="22"/>
              </w:rPr>
              <w:t xml:space="preserve">, а също така и </w:t>
            </w:r>
            <w:r w:rsidR="004D31BF" w:rsidRPr="004D31BF">
              <w:rPr>
                <w:rFonts w:ascii="Arial" w:hAnsi="Arial" w:cs="Arial"/>
                <w:sz w:val="22"/>
              </w:rPr>
              <w:t xml:space="preserve">СДП (24) от 2020 г. „Кризата подчерта стратегическото значение на ефикасната публична администрация и на добре функциониращото цифрово управление.“ </w:t>
            </w:r>
          </w:p>
          <w:p w14:paraId="783EAC21" w14:textId="6B3A8C84" w:rsidR="00EF663E" w:rsidRDefault="00EF663E" w:rsidP="0074212F">
            <w:pPr>
              <w:pStyle w:val="ManualConsidrant"/>
              <w:spacing w:line="276" w:lineRule="auto"/>
              <w:ind w:left="0" w:firstLine="0"/>
              <w:rPr>
                <w:rFonts w:ascii="Arial" w:hAnsi="Arial" w:cs="Arial"/>
                <w:sz w:val="22"/>
              </w:rPr>
            </w:pPr>
            <w:r w:rsidRPr="004D31BF">
              <w:rPr>
                <w:rFonts w:ascii="Arial" w:hAnsi="Arial" w:cs="Arial"/>
                <w:sz w:val="22"/>
              </w:rPr>
              <w:t>Дейности 2, 3 4</w:t>
            </w:r>
            <w:r w:rsidR="0049074A">
              <w:rPr>
                <w:rFonts w:ascii="Arial" w:hAnsi="Arial" w:cs="Arial"/>
                <w:sz w:val="22"/>
              </w:rPr>
              <w:t xml:space="preserve"> и 6</w:t>
            </w:r>
            <w:r w:rsidRPr="004D31BF">
              <w:rPr>
                <w:rFonts w:ascii="Arial" w:hAnsi="Arial" w:cs="Arial"/>
                <w:sz w:val="22"/>
              </w:rPr>
              <w:t xml:space="preserve"> са съгласувани със СДП (24) от 2018 г. „Програмирането на средствата от ЕС за периода 2021 – 2027 г. може да спомогне за преодоляване на някои от пропуските, установени в препоръките. Това би позволило на България да използва по най-добрия начин тези средства по отношение на идентифицираните сектори, като се вземат предвид регионалните различия. Укрепването на административния капацитет на държавата за управление на тези средства е важен фактор за успеха на тази инвестиция“. Взема се под внимание препоръка 3 от СДП от 2020 г. „Усъвършенстване и ускоряване на процедурите за предоставяне на ефективна подкрепа за малките и средните предприятия и самостоятелно заетите лица“. СДП (19) от 2020 г.</w:t>
            </w:r>
            <w:r w:rsidR="00366280" w:rsidRPr="004D31BF">
              <w:rPr>
                <w:rFonts w:ascii="Arial" w:hAnsi="Arial" w:cs="Arial"/>
                <w:sz w:val="22"/>
              </w:rPr>
              <w:t>,</w:t>
            </w:r>
            <w:r w:rsidRPr="004D31BF">
              <w:rPr>
                <w:rFonts w:ascii="Arial" w:hAnsi="Arial" w:cs="Arial"/>
                <w:sz w:val="22"/>
              </w:rPr>
              <w:t xml:space="preserve"> относно последиците от кризата за икономиката – чрез съсредоточаване на подкрепата за проекти върху МСП и самостоятелно заетите творци в областта на културата. Засягат се СДП (17 и 18) от 2019 г. относно пазара на труда, пригодността за заетост и придобиването на умения, по-конкретно за младите хора</w:t>
            </w:r>
            <w:r w:rsidR="0005482F" w:rsidRPr="004D31BF">
              <w:rPr>
                <w:rFonts w:ascii="Arial" w:hAnsi="Arial" w:cs="Arial"/>
                <w:sz w:val="22"/>
              </w:rPr>
              <w:t>.</w:t>
            </w:r>
            <w:r w:rsidR="0074212F">
              <w:rPr>
                <w:rFonts w:ascii="Arial" w:hAnsi="Arial" w:cs="Arial"/>
                <w:sz w:val="22"/>
              </w:rPr>
              <w:t xml:space="preserve"> </w:t>
            </w:r>
            <w:r w:rsidR="008129AE" w:rsidRPr="004D31BF">
              <w:rPr>
                <w:rFonts w:ascii="Arial" w:hAnsi="Arial" w:cs="Arial"/>
                <w:sz w:val="22"/>
              </w:rPr>
              <w:t>В</w:t>
            </w:r>
            <w:r w:rsidRPr="004D31BF">
              <w:rPr>
                <w:rFonts w:ascii="Arial" w:hAnsi="Arial" w:cs="Arial"/>
                <w:sz w:val="22"/>
              </w:rPr>
              <w:t>ъв връзка със СДП (9) от 2020 г.</w:t>
            </w:r>
            <w:r w:rsidR="00484508">
              <w:rPr>
                <w:rFonts w:ascii="Arial" w:hAnsi="Arial" w:cs="Arial"/>
                <w:sz w:val="22"/>
              </w:rPr>
              <w:t>,</w:t>
            </w:r>
            <w:r w:rsidRPr="004D31BF">
              <w:rPr>
                <w:rFonts w:ascii="Arial" w:hAnsi="Arial" w:cs="Arial"/>
                <w:sz w:val="22"/>
              </w:rPr>
              <w:t xml:space="preserve"> относно регионалните различия чрез въвеждане на реформи, които допринасят за децентрализацията на предлагането на културна продукция, както и чрез инвестиране в </w:t>
            </w:r>
            <w:r w:rsidR="00DE5F83" w:rsidRPr="004D31BF">
              <w:rPr>
                <w:rFonts w:ascii="Arial" w:hAnsi="Arial" w:cs="Arial"/>
                <w:sz w:val="22"/>
              </w:rPr>
              <w:t>изостанали</w:t>
            </w:r>
            <w:r w:rsidRPr="004D31BF">
              <w:rPr>
                <w:rFonts w:ascii="Arial" w:hAnsi="Arial" w:cs="Arial"/>
                <w:sz w:val="22"/>
              </w:rPr>
              <w:t xml:space="preserve"> райони. </w:t>
            </w:r>
          </w:p>
          <w:p w14:paraId="312DA28F" w14:textId="30BA5AEB" w:rsidR="002E2074" w:rsidRPr="0074212F" w:rsidRDefault="002E2074" w:rsidP="0074212F">
            <w:pPr>
              <w:pStyle w:val="ManualConsidrant"/>
              <w:spacing w:line="276" w:lineRule="auto"/>
              <w:ind w:left="0" w:firstLine="0"/>
              <w:rPr>
                <w:rFonts w:ascii="Arial" w:hAnsi="Arial" w:cs="Arial"/>
                <w:sz w:val="22"/>
              </w:rPr>
            </w:pPr>
          </w:p>
        </w:tc>
      </w:tr>
      <w:tr w:rsidR="00595549" w:rsidRPr="00223742" w14:paraId="5FB672FA" w14:textId="77777777" w:rsidTr="00AF42A3">
        <w:tc>
          <w:tcPr>
            <w:tcW w:w="9314" w:type="dxa"/>
            <w:shd w:val="clear" w:color="auto" w:fill="auto"/>
            <w:tcMar>
              <w:top w:w="100" w:type="dxa"/>
              <w:left w:w="100" w:type="dxa"/>
              <w:bottom w:w="100" w:type="dxa"/>
              <w:right w:w="100" w:type="dxa"/>
            </w:tcMar>
          </w:tcPr>
          <w:p w14:paraId="38F30FEB" w14:textId="77777777" w:rsidR="00595549" w:rsidRPr="00223742" w:rsidRDefault="00595549" w:rsidP="004F3A87">
            <w:pPr>
              <w:numPr>
                <w:ilvl w:val="0"/>
                <w:numId w:val="12"/>
              </w:numPr>
              <w:pBdr>
                <w:top w:val="nil"/>
                <w:left w:val="nil"/>
                <w:bottom w:val="nil"/>
                <w:right w:val="nil"/>
                <w:between w:val="nil"/>
              </w:pBdr>
              <w:jc w:val="both"/>
              <w:rPr>
                <w:b/>
              </w:rPr>
            </w:pPr>
            <w:r>
              <w:rPr>
                <w:b/>
              </w:rPr>
              <w:t>Допринася ли проектът за осъществяването на реформа в даден сектор? Моля, посочете по какъв начин.</w:t>
            </w:r>
          </w:p>
        </w:tc>
      </w:tr>
      <w:tr w:rsidR="00595549" w:rsidRPr="00223742" w14:paraId="5E440AD6" w14:textId="77777777" w:rsidTr="00AF42A3">
        <w:tc>
          <w:tcPr>
            <w:tcW w:w="9314" w:type="dxa"/>
            <w:shd w:val="clear" w:color="auto" w:fill="auto"/>
            <w:tcMar>
              <w:top w:w="100" w:type="dxa"/>
              <w:left w:w="100" w:type="dxa"/>
              <w:bottom w:w="100" w:type="dxa"/>
              <w:right w:w="100" w:type="dxa"/>
            </w:tcMar>
          </w:tcPr>
          <w:p w14:paraId="3A9E9489" w14:textId="77777777" w:rsidR="00964980" w:rsidRDefault="00964980" w:rsidP="006A4776">
            <w:pPr>
              <w:pStyle w:val="Body"/>
              <w:widowControl w:val="0"/>
              <w:jc w:val="both"/>
              <w:rPr>
                <w:rFonts w:ascii="Arial" w:cs="Arial"/>
              </w:rPr>
            </w:pPr>
          </w:p>
          <w:p w14:paraId="43A7233B" w14:textId="4CD5A16C" w:rsidR="00415637" w:rsidRPr="007F4AE4" w:rsidRDefault="000139DD" w:rsidP="006A4776">
            <w:pPr>
              <w:pStyle w:val="Body"/>
              <w:widowControl w:val="0"/>
              <w:jc w:val="both"/>
              <w:rPr>
                <w:rFonts w:ascii="Arial" w:cs="Arial"/>
              </w:rPr>
            </w:pPr>
            <w:r w:rsidRPr="007F4AE4">
              <w:rPr>
                <w:rFonts w:ascii="Arial" w:cs="Arial"/>
              </w:rPr>
              <w:t>Проектът цел</w:t>
            </w:r>
            <w:r w:rsidR="00415637" w:rsidRPr="007F4AE4">
              <w:rPr>
                <w:rFonts w:ascii="Arial" w:cs="Arial"/>
              </w:rPr>
              <w:t>и</w:t>
            </w:r>
            <w:r w:rsidRPr="007F4AE4">
              <w:rPr>
                <w:rFonts w:ascii="Arial" w:cs="Arial"/>
              </w:rPr>
              <w:t xml:space="preserve"> реформиране на публичните разходи </w:t>
            </w:r>
            <w:r w:rsidR="003F5796" w:rsidRPr="007F4AE4">
              <w:rPr>
                <w:rFonts w:ascii="Arial" w:cs="Arial"/>
              </w:rPr>
              <w:t xml:space="preserve">за култура </w:t>
            </w:r>
            <w:r w:rsidRPr="007F4AE4">
              <w:rPr>
                <w:rFonts w:ascii="Arial" w:cs="Arial"/>
              </w:rPr>
              <w:t xml:space="preserve">и децентрализация на държавните </w:t>
            </w:r>
            <w:r w:rsidR="00415637" w:rsidRPr="007F4AE4">
              <w:rPr>
                <w:rFonts w:ascii="Arial" w:cs="Arial"/>
              </w:rPr>
              <w:t xml:space="preserve">културни </w:t>
            </w:r>
            <w:r w:rsidRPr="007F4AE4">
              <w:rPr>
                <w:rFonts w:ascii="Arial" w:cs="Arial"/>
              </w:rPr>
              <w:t>политики в сектора на КТИ</w:t>
            </w:r>
            <w:r w:rsidR="00E7033E" w:rsidRPr="007F4AE4">
              <w:rPr>
                <w:rFonts w:ascii="Arial" w:cs="Arial"/>
              </w:rPr>
              <w:t>.</w:t>
            </w:r>
          </w:p>
          <w:p w14:paraId="691C923C" w14:textId="4CFA915B" w:rsidR="00D61263" w:rsidRPr="00AC7036" w:rsidRDefault="00450061" w:rsidP="006A4776">
            <w:pPr>
              <w:pStyle w:val="Body"/>
              <w:widowControl w:val="0"/>
              <w:jc w:val="both"/>
            </w:pPr>
            <w:r w:rsidRPr="007F4AE4">
              <w:rPr>
                <w:rFonts w:ascii="Arial" w:cs="Arial"/>
              </w:rPr>
              <w:t xml:space="preserve">Предприемане на </w:t>
            </w:r>
            <w:r w:rsidR="00A44353" w:rsidRPr="007F4AE4">
              <w:rPr>
                <w:rFonts w:ascii="Arial" w:cs="Arial"/>
              </w:rPr>
              <w:t>законодателни и стратегически</w:t>
            </w:r>
            <w:r w:rsidR="00A44353">
              <w:t xml:space="preserve"> </w:t>
            </w:r>
            <w:r>
              <w:t>мерки</w:t>
            </w:r>
            <w:r>
              <w:t xml:space="preserve"> </w:t>
            </w:r>
            <w:r>
              <w:t>за</w:t>
            </w:r>
            <w:r>
              <w:t xml:space="preserve"> </w:t>
            </w:r>
            <w:r w:rsidR="009A0D5F" w:rsidRPr="00C328DA">
              <w:rPr>
                <w:rFonts w:ascii="Arial" w:cs="Arial"/>
              </w:rPr>
              <w:t xml:space="preserve">превръщане на НКФ в </w:t>
            </w:r>
            <w:r w:rsidR="009A0D5F" w:rsidRPr="00C328DA">
              <w:rPr>
                <w:rFonts w:ascii="Arial" w:cs="Arial"/>
              </w:rPr>
              <w:lastRenderedPageBreak/>
              <w:t>структура, която подкрепя иновациите, растежа и международното сътрудничество на българските КТИ по прозрачен и финансово устойчив начин</w:t>
            </w:r>
            <w:r w:rsidR="00B96B1A">
              <w:rPr>
                <w:rFonts w:ascii="Arial" w:cs="Arial"/>
              </w:rPr>
              <w:t xml:space="preserve"> и възможност </w:t>
            </w:r>
            <w:r w:rsidR="00D61263">
              <w:rPr>
                <w:rFonts w:ascii="Arial" w:cs="Arial"/>
              </w:rPr>
              <w:t xml:space="preserve">да предоставя </w:t>
            </w:r>
            <w:r w:rsidR="004F00F7" w:rsidRPr="00E20A85">
              <w:rPr>
                <w:rFonts w:ascii="Arial" w:cs="Arial"/>
              </w:rPr>
              <w:t>атрактивно и динамично услуги от държавните служби за утрешния ден</w:t>
            </w:r>
            <w:r w:rsidR="00D61263">
              <w:rPr>
                <w:rFonts w:ascii="Arial" w:cs="Arial"/>
              </w:rPr>
              <w:t>.</w:t>
            </w:r>
          </w:p>
          <w:p w14:paraId="6247FE59" w14:textId="51C56E65" w:rsidR="002C0616" w:rsidRDefault="009A0D5F" w:rsidP="003C17EC">
            <w:pPr>
              <w:pStyle w:val="Body"/>
              <w:widowControl w:val="0"/>
              <w:jc w:val="both"/>
              <w:rPr>
                <w:rFonts w:ascii="Arial" w:cs="Arial"/>
                <w:color w:val="1D2228"/>
              </w:rPr>
            </w:pPr>
            <w:r w:rsidRPr="00103198">
              <w:rPr>
                <w:rFonts w:ascii="Arial" w:cs="Arial"/>
              </w:rPr>
              <w:t>Законодателна промяна в правната рамка на НФК</w:t>
            </w:r>
            <w:r w:rsidR="00E34583" w:rsidRPr="00103198">
              <w:rPr>
                <w:rFonts w:ascii="Arial" w:eastAsia="Times New Roman" w:cs="Arial"/>
              </w:rPr>
              <w:t>, визира изготвяне на</w:t>
            </w:r>
            <w:r w:rsidRPr="00E34583">
              <w:rPr>
                <w:rFonts w:ascii="Arial" w:cs="Arial"/>
              </w:rPr>
              <w:t xml:space="preserve"> </w:t>
            </w:r>
            <w:r w:rsidR="00757BD6">
              <w:rPr>
                <w:rFonts w:ascii="Arial" w:cs="Arial"/>
              </w:rPr>
              <w:t>Оценка и А</w:t>
            </w:r>
            <w:r w:rsidRPr="00E34583">
              <w:rPr>
                <w:rFonts w:ascii="Arial" w:cs="Arial"/>
              </w:rPr>
              <w:t>нализ</w:t>
            </w:r>
            <w:r>
              <w:rPr>
                <w:rFonts w:ascii="Arial" w:cs="Arial"/>
              </w:rPr>
              <w:t xml:space="preserve"> на действащото законодателство</w:t>
            </w:r>
            <w:r w:rsidR="00C05888">
              <w:rPr>
                <w:rFonts w:ascii="Arial" w:cs="Arial"/>
              </w:rPr>
              <w:t xml:space="preserve"> </w:t>
            </w:r>
            <w:r w:rsidRPr="00E20A85">
              <w:rPr>
                <w:rFonts w:ascii="Arial" w:cs="Arial"/>
                <w:color w:val="1D2228"/>
              </w:rPr>
              <w:t>в З</w:t>
            </w:r>
            <w:r>
              <w:rPr>
                <w:rFonts w:ascii="Arial" w:cs="Arial"/>
                <w:color w:val="1D2228"/>
              </w:rPr>
              <w:t>ЗРК</w:t>
            </w:r>
            <w:r w:rsidRPr="00E20A85">
              <w:rPr>
                <w:rFonts w:ascii="Arial" w:cs="Arial"/>
                <w:color w:val="1D2228"/>
              </w:rPr>
              <w:t xml:space="preserve">, </w:t>
            </w:r>
            <w:r>
              <w:rPr>
                <w:rFonts w:ascii="Arial" w:cs="Arial"/>
                <w:color w:val="1D2228"/>
              </w:rPr>
              <w:t>с цел</w:t>
            </w:r>
            <w:r w:rsidRPr="00E20A85">
              <w:rPr>
                <w:rFonts w:ascii="Arial" w:cs="Arial"/>
                <w:color w:val="1D2228"/>
              </w:rPr>
              <w:t xml:space="preserve"> </w:t>
            </w:r>
            <w:r>
              <w:rPr>
                <w:rFonts w:ascii="Arial" w:cs="Arial"/>
                <w:color w:val="1D2228"/>
              </w:rPr>
              <w:t>НФК да</w:t>
            </w:r>
            <w:r w:rsidRPr="00E20A85">
              <w:rPr>
                <w:rFonts w:ascii="Arial" w:cs="Arial"/>
                <w:color w:val="1D2228"/>
              </w:rPr>
              <w:t xml:space="preserve"> при</w:t>
            </w:r>
            <w:r>
              <w:rPr>
                <w:rFonts w:ascii="Arial" w:cs="Arial"/>
                <w:color w:val="1D2228"/>
              </w:rPr>
              <w:t xml:space="preserve">добие статут на </w:t>
            </w:r>
            <w:r w:rsidRPr="00E20A85">
              <w:rPr>
                <w:rFonts w:ascii="Arial" w:cs="Arial"/>
                <w:color w:val="1D2228"/>
              </w:rPr>
              <w:t xml:space="preserve">делегиран бюджет. </w:t>
            </w:r>
            <w:r>
              <w:rPr>
                <w:rFonts w:ascii="Arial" w:cs="Arial"/>
                <w:color w:val="1D2228"/>
              </w:rPr>
              <w:t xml:space="preserve">Освен </w:t>
            </w:r>
            <w:r w:rsidR="008010A9">
              <w:rPr>
                <w:rFonts w:ascii="Arial" w:cs="Arial"/>
                <w:color w:val="1D2228"/>
              </w:rPr>
              <w:t xml:space="preserve">с промяна на </w:t>
            </w:r>
            <w:r>
              <w:rPr>
                <w:rFonts w:ascii="Arial" w:cs="Arial"/>
                <w:color w:val="1D2228"/>
              </w:rPr>
              <w:t xml:space="preserve">ЗЗРК, който </w:t>
            </w:r>
            <w:r w:rsidR="008010A9">
              <w:rPr>
                <w:rFonts w:ascii="Arial" w:cs="Arial"/>
                <w:color w:val="1D2228"/>
              </w:rPr>
              <w:t xml:space="preserve">регламентира дейността и функциите на </w:t>
            </w:r>
            <w:r>
              <w:rPr>
                <w:rFonts w:ascii="Arial" w:cs="Arial"/>
                <w:color w:val="1D2228"/>
              </w:rPr>
              <w:t xml:space="preserve">НФК, ще бъдат разгледани относими за Фонда текстове в Закона за авторското право и сродните му права, Закона за данъците върху доходите на физическите лица, Закона за културното наследство, Закона за народните читалища, Закона за творческите фондове, Закона за хазарта, Закона за администрацията и др., както и в различни подзаконови актове. Последващите етапи от процедурата за </w:t>
            </w:r>
            <w:r w:rsidR="003C34AF">
              <w:rPr>
                <w:rFonts w:ascii="Arial" w:cs="Arial"/>
                <w:color w:val="1D2228"/>
              </w:rPr>
              <w:t xml:space="preserve">законодателна </w:t>
            </w:r>
            <w:r>
              <w:rPr>
                <w:rFonts w:ascii="Arial" w:cs="Arial"/>
                <w:color w:val="1D2228"/>
              </w:rPr>
              <w:t xml:space="preserve">промяна на ЗЗРК в частта за НФК </w:t>
            </w:r>
            <w:r w:rsidR="00506B0D">
              <w:rPr>
                <w:rFonts w:ascii="Arial" w:cs="Arial"/>
                <w:color w:val="1D2228"/>
              </w:rPr>
              <w:t xml:space="preserve">е </w:t>
            </w:r>
            <w:r w:rsidR="00907813" w:rsidRPr="00607B69">
              <w:rPr>
                <w:rFonts w:ascii="Arial" w:cs="Arial"/>
                <w:color w:val="1D2228"/>
              </w:rPr>
              <w:t>изработва</w:t>
            </w:r>
            <w:r w:rsidR="002D50E8">
              <w:rPr>
                <w:rFonts w:ascii="Arial" w:cs="Arial"/>
                <w:color w:val="1D2228"/>
              </w:rPr>
              <w:t>не на</w:t>
            </w:r>
            <w:r w:rsidR="00907813" w:rsidRPr="00607B69">
              <w:rPr>
                <w:rFonts w:ascii="Arial" w:cs="Arial"/>
                <w:color w:val="1D2228"/>
              </w:rPr>
              <w:t xml:space="preserve"> законопроект</w:t>
            </w:r>
            <w:r w:rsidR="00E552DB">
              <w:rPr>
                <w:rFonts w:ascii="Arial" w:cs="Arial"/>
                <w:color w:val="1D2228"/>
              </w:rPr>
              <w:t xml:space="preserve"> </w:t>
            </w:r>
            <w:r w:rsidR="00907813" w:rsidRPr="00607B69">
              <w:rPr>
                <w:rFonts w:ascii="Arial" w:cs="Arial"/>
                <w:color w:val="1D2228"/>
              </w:rPr>
              <w:t xml:space="preserve">и неговото </w:t>
            </w:r>
            <w:r w:rsidR="00506B0D">
              <w:rPr>
                <w:rFonts w:ascii="Arial" w:cs="Arial"/>
                <w:color w:val="1D2228"/>
              </w:rPr>
              <w:t xml:space="preserve">внасяне за </w:t>
            </w:r>
            <w:r w:rsidR="00907813" w:rsidRPr="00607B69">
              <w:rPr>
                <w:rFonts w:ascii="Arial" w:cs="Arial"/>
                <w:color w:val="1D2228"/>
              </w:rPr>
              <w:t>одобрение</w:t>
            </w:r>
            <w:r w:rsidR="00907813">
              <w:rPr>
                <w:rFonts w:ascii="Arial" w:cs="Arial"/>
                <w:color w:val="1D2228"/>
              </w:rPr>
              <w:t xml:space="preserve"> </w:t>
            </w:r>
            <w:r w:rsidR="00E552DB">
              <w:rPr>
                <w:rFonts w:ascii="Arial" w:cs="Arial"/>
                <w:color w:val="1D2228"/>
              </w:rPr>
              <w:t>от Народното събрание</w:t>
            </w:r>
            <w:r w:rsidR="00907813" w:rsidRPr="00607B69">
              <w:rPr>
                <w:rFonts w:ascii="Arial" w:cs="Arial"/>
                <w:color w:val="1D2228"/>
              </w:rPr>
              <w:t>.</w:t>
            </w:r>
          </w:p>
          <w:p w14:paraId="4FB24580" w14:textId="36D34698" w:rsidR="003C17EC" w:rsidRPr="004647FA" w:rsidRDefault="00506B0D" w:rsidP="003C17EC">
            <w:pPr>
              <w:pStyle w:val="Body"/>
              <w:widowControl w:val="0"/>
              <w:jc w:val="both"/>
              <w:rPr>
                <w:rFonts w:ascii="Arial" w:cs="Arial"/>
                <w:color w:val="1D2228"/>
              </w:rPr>
            </w:pPr>
            <w:r w:rsidRPr="004647FA">
              <w:rPr>
                <w:rFonts w:ascii="Arial" w:cs="Arial"/>
                <w:color w:val="1D2228"/>
              </w:rPr>
              <w:t xml:space="preserve">Законодателната реформа ще </w:t>
            </w:r>
            <w:r w:rsidR="00CB4A8E" w:rsidRPr="004647FA">
              <w:rPr>
                <w:rFonts w:ascii="Arial" w:cs="Arial"/>
                <w:color w:val="1D2228"/>
              </w:rPr>
              <w:t xml:space="preserve">съдейства </w:t>
            </w:r>
            <w:r w:rsidR="008256C1" w:rsidRPr="004647FA">
              <w:rPr>
                <w:rFonts w:ascii="Arial" w:cs="Arial"/>
              </w:rPr>
              <w:t>за привличане на всички приходоизточници, описани в чл.31 от ЗЗРК</w:t>
            </w:r>
            <w:r w:rsidR="00CB4A8E" w:rsidRPr="004647FA">
              <w:rPr>
                <w:rFonts w:ascii="Arial" w:cs="Arial"/>
              </w:rPr>
              <w:t xml:space="preserve">, ще предостави </w:t>
            </w:r>
            <w:r w:rsidR="008256C1" w:rsidRPr="004647FA">
              <w:rPr>
                <w:rFonts w:ascii="Arial" w:cs="Arial"/>
              </w:rPr>
              <w:t>възможност за привличане на финансиране от международни източници</w:t>
            </w:r>
            <w:r w:rsidR="008419B8" w:rsidRPr="004647FA">
              <w:rPr>
                <w:rFonts w:ascii="Arial" w:cs="Arial"/>
              </w:rPr>
              <w:t xml:space="preserve"> и</w:t>
            </w:r>
            <w:r w:rsidR="008256C1" w:rsidRPr="004647FA">
              <w:rPr>
                <w:rFonts w:ascii="Arial" w:cs="Arial"/>
              </w:rPr>
              <w:t xml:space="preserve"> подкрепа на международни копродукции</w:t>
            </w:r>
            <w:r w:rsidR="008419B8" w:rsidRPr="004647FA">
              <w:rPr>
                <w:rFonts w:ascii="Arial" w:cs="Arial"/>
              </w:rPr>
              <w:t xml:space="preserve">. По настоящем </w:t>
            </w:r>
            <w:r w:rsidR="008256C1" w:rsidRPr="004647FA">
              <w:rPr>
                <w:rFonts w:ascii="Arial" w:cs="Arial"/>
              </w:rPr>
              <w:t xml:space="preserve">НФК е изключително зависим финансово от един единствен приходоизточник, който е субсидията от държавния бюджет </w:t>
            </w:r>
            <w:r w:rsidR="00DE1236" w:rsidRPr="004647FA">
              <w:rPr>
                <w:rFonts w:ascii="Arial" w:cs="Arial"/>
              </w:rPr>
              <w:t xml:space="preserve">и </w:t>
            </w:r>
            <w:r w:rsidR="008256C1" w:rsidRPr="004647FA">
              <w:rPr>
                <w:rFonts w:ascii="Arial" w:cs="Arial"/>
              </w:rPr>
              <w:t>това прави Фонда твърде зависим в административно отношение и от МК, което от своя страна има твърде консервативно отношение спрямо проектните субсидии като цяло</w:t>
            </w:r>
            <w:r w:rsidR="003C17EC" w:rsidRPr="004647FA">
              <w:rPr>
                <w:rFonts w:ascii="Arial" w:cs="Arial"/>
              </w:rPr>
              <w:t xml:space="preserve">. Сега </w:t>
            </w:r>
            <w:r w:rsidR="008256C1" w:rsidRPr="004647FA">
              <w:rPr>
                <w:rFonts w:ascii="Arial" w:cs="Arial"/>
              </w:rPr>
              <w:t xml:space="preserve">на практика НФК не функционира като Фонд, а като отделна финансираща програма на МК. </w:t>
            </w:r>
          </w:p>
          <w:p w14:paraId="3E4DFCE0" w14:textId="40A5DFF7" w:rsidR="00C06E0F" w:rsidRPr="0098476D" w:rsidRDefault="003E23AF" w:rsidP="006A4776">
            <w:pPr>
              <w:pStyle w:val="Body"/>
              <w:widowControl w:val="0"/>
              <w:jc w:val="both"/>
              <w:rPr>
                <w:rFonts w:ascii="Arial" w:cs="Arial"/>
              </w:rPr>
            </w:pPr>
            <w:r w:rsidRPr="000A715D">
              <w:rPr>
                <w:rFonts w:ascii="Arial" w:cs="Arial"/>
              </w:rPr>
              <w:t>Фондът няма и не развива</w:t>
            </w:r>
            <w:r w:rsidR="008256C1" w:rsidRPr="000A715D">
              <w:rPr>
                <w:rFonts w:ascii="Arial" w:cs="Arial"/>
              </w:rPr>
              <w:t xml:space="preserve"> контакти, </w:t>
            </w:r>
            <w:r w:rsidRPr="000A715D">
              <w:rPr>
                <w:rFonts w:ascii="Arial" w:cs="Arial"/>
              </w:rPr>
              <w:t xml:space="preserve">не </w:t>
            </w:r>
            <w:r w:rsidR="008256C1" w:rsidRPr="000A715D">
              <w:rPr>
                <w:rFonts w:ascii="Arial" w:cs="Arial"/>
              </w:rPr>
              <w:t>координ</w:t>
            </w:r>
            <w:r w:rsidR="00BC6F41" w:rsidRPr="000A715D">
              <w:rPr>
                <w:rFonts w:ascii="Arial" w:cs="Arial"/>
              </w:rPr>
              <w:t>ира</w:t>
            </w:r>
            <w:r w:rsidR="008256C1" w:rsidRPr="000A715D">
              <w:rPr>
                <w:rFonts w:ascii="Arial" w:cs="Arial"/>
              </w:rPr>
              <w:t xml:space="preserve"> и комуник</w:t>
            </w:r>
            <w:r w:rsidR="00BC6F41" w:rsidRPr="000A715D">
              <w:rPr>
                <w:rFonts w:ascii="Arial" w:cs="Arial"/>
              </w:rPr>
              <w:t>ира</w:t>
            </w:r>
            <w:r w:rsidR="008256C1" w:rsidRPr="000A715D">
              <w:rPr>
                <w:rFonts w:ascii="Arial" w:cs="Arial"/>
              </w:rPr>
              <w:t xml:space="preserve"> с останалите финансиращи институции и програми в страната и чужбина, в частност с общинските финансиращи програми за изкуство и култура</w:t>
            </w:r>
            <w:r w:rsidR="001143D6" w:rsidRPr="000A715D">
              <w:rPr>
                <w:rFonts w:ascii="Arial" w:cs="Arial"/>
              </w:rPr>
              <w:t xml:space="preserve">. Законодателната реформа ще постави </w:t>
            </w:r>
            <w:r w:rsidR="008256C1" w:rsidRPr="000A715D">
              <w:rPr>
                <w:rFonts w:ascii="Arial" w:cs="Arial"/>
              </w:rPr>
              <w:t>ясни критерии за избор на членове на основния управляващ орган на НФК – Управителния съвет</w:t>
            </w:r>
            <w:r w:rsidR="006F527B">
              <w:rPr>
                <w:rFonts w:ascii="Arial" w:cs="Arial"/>
              </w:rPr>
              <w:t xml:space="preserve"> (УС)</w:t>
            </w:r>
            <w:r w:rsidR="008256C1" w:rsidRPr="000A715D">
              <w:rPr>
                <w:rFonts w:ascii="Arial" w:cs="Arial"/>
              </w:rPr>
              <w:t xml:space="preserve">. </w:t>
            </w:r>
            <w:r w:rsidR="00A96246" w:rsidRPr="000A715D">
              <w:rPr>
                <w:rFonts w:ascii="Arial" w:cs="Arial"/>
              </w:rPr>
              <w:t xml:space="preserve">По настоящем </w:t>
            </w:r>
            <w:r w:rsidR="008256C1" w:rsidRPr="000A715D">
              <w:rPr>
                <w:rFonts w:ascii="Arial" w:cs="Arial"/>
              </w:rPr>
              <w:t>УС често има неосъзнатост относно неговата роля и функции, които се изчерпват до формално одобрение на предложени програми и резултатите от тях.</w:t>
            </w:r>
            <w:r w:rsidR="00CA60E3" w:rsidRPr="000A715D">
              <w:rPr>
                <w:rFonts w:ascii="Arial" w:cs="Arial"/>
              </w:rPr>
              <w:t xml:space="preserve"> Ще бъдат дефинирани </w:t>
            </w:r>
            <w:r w:rsidR="008256C1" w:rsidRPr="000A715D">
              <w:rPr>
                <w:rFonts w:ascii="Arial" w:cs="Arial"/>
              </w:rPr>
              <w:t>ясни критерии за избор на изпълнителен директор на НФК</w:t>
            </w:r>
            <w:r w:rsidR="003527FA" w:rsidRPr="000A715D">
              <w:rPr>
                <w:rFonts w:ascii="Arial" w:cs="Arial"/>
              </w:rPr>
              <w:t xml:space="preserve">. </w:t>
            </w:r>
            <w:r w:rsidR="005B3B3A" w:rsidRPr="000A715D">
              <w:rPr>
                <w:rFonts w:ascii="Arial" w:cs="Arial"/>
              </w:rPr>
              <w:t xml:space="preserve">Разработване </w:t>
            </w:r>
            <w:r w:rsidR="008256C1" w:rsidRPr="000A715D">
              <w:rPr>
                <w:rFonts w:ascii="Arial" w:cs="Arial"/>
              </w:rPr>
              <w:t>на механизми за ефективен мониторинг и контрол върху реализацията на дейностите на НФК, както и върху осъществяването и ефектите от отделните финансирани проекти.</w:t>
            </w:r>
            <w:r w:rsidR="002F4604" w:rsidRPr="000A715D">
              <w:rPr>
                <w:rFonts w:ascii="Arial" w:cs="Arial"/>
              </w:rPr>
              <w:t xml:space="preserve"> В момента л</w:t>
            </w:r>
            <w:r w:rsidR="008256C1" w:rsidRPr="000A715D">
              <w:rPr>
                <w:rFonts w:ascii="Arial" w:cs="Arial"/>
              </w:rPr>
              <w:t>ипс</w:t>
            </w:r>
            <w:r w:rsidR="002F4604" w:rsidRPr="000A715D">
              <w:rPr>
                <w:rFonts w:ascii="Arial" w:cs="Arial"/>
              </w:rPr>
              <w:t>в</w:t>
            </w:r>
            <w:r w:rsidR="008256C1" w:rsidRPr="000A715D">
              <w:rPr>
                <w:rFonts w:ascii="Arial" w:cs="Arial"/>
              </w:rPr>
              <w:t>а</w:t>
            </w:r>
            <w:r w:rsidR="001B30F7" w:rsidRPr="000A715D">
              <w:rPr>
                <w:rFonts w:ascii="Arial" w:cs="Arial"/>
              </w:rPr>
              <w:t>т</w:t>
            </w:r>
            <w:r w:rsidR="008256C1" w:rsidRPr="000A715D">
              <w:rPr>
                <w:rFonts w:ascii="Arial" w:cs="Arial"/>
              </w:rPr>
              <w:t xml:space="preserve"> периодични анализи от осъществяването на програмите на НФК и подкрепените от тях проекти</w:t>
            </w:r>
            <w:r w:rsidR="001B30F7" w:rsidRPr="000A715D">
              <w:rPr>
                <w:rFonts w:ascii="Arial" w:cs="Arial"/>
              </w:rPr>
              <w:t>.</w:t>
            </w:r>
          </w:p>
          <w:p w14:paraId="07C85B06" w14:textId="30861813" w:rsidR="002C0616" w:rsidRPr="0098476D" w:rsidRDefault="00CC335B" w:rsidP="002C0616">
            <w:pPr>
              <w:spacing w:line="240" w:lineRule="auto"/>
            </w:pPr>
            <w:r w:rsidRPr="0098476D">
              <w:t xml:space="preserve">Освен законодателна промяна, реформата визира </w:t>
            </w:r>
            <w:r w:rsidR="007F003F" w:rsidRPr="0098476D">
              <w:t xml:space="preserve">прилагането на конкретни </w:t>
            </w:r>
            <w:r w:rsidR="008C0CAD" w:rsidRPr="0098476D">
              <w:t xml:space="preserve">мерки за </w:t>
            </w:r>
            <w:r w:rsidR="00F14B27" w:rsidRPr="0098476D">
              <w:t>п</w:t>
            </w:r>
            <w:r w:rsidR="008C0CAD" w:rsidRPr="0098476D">
              <w:t>о</w:t>
            </w:r>
            <w:r w:rsidR="00F14B27" w:rsidRPr="0098476D">
              <w:t xml:space="preserve">добряване на административния капацитет на </w:t>
            </w:r>
            <w:r w:rsidR="007F003F" w:rsidRPr="0098476D">
              <w:t xml:space="preserve">администрацията </w:t>
            </w:r>
            <w:r w:rsidR="008C0CAD" w:rsidRPr="0098476D">
              <w:t xml:space="preserve">и управлението на </w:t>
            </w:r>
            <w:r w:rsidR="00312F54" w:rsidRPr="0098476D">
              <w:t>НФК</w:t>
            </w:r>
            <w:r w:rsidR="004E5E3A" w:rsidRPr="0098476D">
              <w:t xml:space="preserve">, чрез увеличаване на </w:t>
            </w:r>
            <w:r w:rsidR="002C0616" w:rsidRPr="0098476D">
              <w:t xml:space="preserve">числен състав на </w:t>
            </w:r>
            <w:r w:rsidR="0098476D" w:rsidRPr="0098476D">
              <w:t>администрацията</w:t>
            </w:r>
            <w:r w:rsidR="002C0616" w:rsidRPr="0098476D">
              <w:t xml:space="preserve"> на НФК, която не успява да се справи достатъчно ефективно с нарастващия брой програми и кандидати</w:t>
            </w:r>
            <w:r w:rsidR="00F96EFA" w:rsidRPr="0098476D">
              <w:t>, както поради н</w:t>
            </w:r>
            <w:r w:rsidR="002C0616" w:rsidRPr="0098476D">
              <w:t xml:space="preserve">иско заплащане на административния състав, се наблюдава голямо текучество и липса на устойчивост и перспектива за професионално и кариерно развитие </w:t>
            </w:r>
            <w:r w:rsidR="00F96EFA" w:rsidRPr="0098476D">
              <w:t>.</w:t>
            </w:r>
          </w:p>
          <w:p w14:paraId="0D6587AF" w14:textId="7B3ACE6C" w:rsidR="00CC335B" w:rsidRPr="00CC335B" w:rsidRDefault="00924117" w:rsidP="00C57B64">
            <w:pPr>
              <w:jc w:val="both"/>
            </w:pPr>
            <w:r w:rsidRPr="0098476D">
              <w:t>Планираната реформа ще въведе нови критерии и процедури за назначаване на управителен съвет, изпълнително ръководство, програмни (консултативни) комитети, както и механизъм за обществени консултации, като по този начин ще се гарантира по-добро стратегическо планиране, прозрачност на управлението и избягване на конфликти на интереси. Изработване</w:t>
            </w:r>
            <w:r>
              <w:t xml:space="preserve"> на актуален и ефикасен Устройствен правилник на НФК </w:t>
            </w:r>
            <w:r w:rsidRPr="006601C2">
              <w:rPr>
                <w:rFonts w:eastAsia="Times New Roman"/>
              </w:rPr>
              <w:t xml:space="preserve">за административното управление, </w:t>
            </w:r>
            <w:r>
              <w:rPr>
                <w:rFonts w:eastAsia="Times New Roman"/>
              </w:rPr>
              <w:t xml:space="preserve">Правила за </w:t>
            </w:r>
            <w:r w:rsidRPr="006601C2">
              <w:rPr>
                <w:rFonts w:eastAsia="Times New Roman"/>
              </w:rPr>
              <w:t>наблюдението и оценката</w:t>
            </w:r>
            <w:r>
              <w:rPr>
                <w:rFonts w:eastAsia="Times New Roman"/>
              </w:rPr>
              <w:t xml:space="preserve"> на дейността на Фонда и други поднормативни правилници.</w:t>
            </w:r>
            <w:r>
              <w:rPr>
                <w:color w:val="1D2228"/>
              </w:rPr>
              <w:t xml:space="preserve"> </w:t>
            </w:r>
            <w:r w:rsidRPr="00E20A85">
              <w:t>Тази промяна в статута ще увеличи и доверието във Фонда от страна на бизнес спонсори, покровители и индивидуални филантропи</w:t>
            </w:r>
            <w:r w:rsidRPr="00CC335B">
              <w:t>.</w:t>
            </w:r>
            <w:r w:rsidR="00C57B64">
              <w:t xml:space="preserve"> Реформата създава също удобна за потребителите </w:t>
            </w:r>
            <w:r w:rsidR="00C57B64">
              <w:lastRenderedPageBreak/>
              <w:t xml:space="preserve">цифрова среда, </w:t>
            </w:r>
            <w:r w:rsidR="0061757C">
              <w:t>чрез</w:t>
            </w:r>
            <w:r w:rsidR="00A32584">
              <w:t xml:space="preserve"> </w:t>
            </w:r>
            <w:r w:rsidR="00A32584" w:rsidRPr="00607B69">
              <w:t xml:space="preserve">разработена и внедрена електронна система със софтуерно решение за НФК. </w:t>
            </w:r>
          </w:p>
          <w:p w14:paraId="0188209E" w14:textId="77777777" w:rsidR="00C067EE" w:rsidRPr="00850D5A" w:rsidRDefault="00C067EE" w:rsidP="006A4776">
            <w:pPr>
              <w:jc w:val="both"/>
            </w:pPr>
          </w:p>
          <w:p w14:paraId="3C83FFAC" w14:textId="77777777" w:rsidR="002A4FB8" w:rsidRDefault="000139DD" w:rsidP="002A4FB8">
            <w:pPr>
              <w:jc w:val="both"/>
            </w:pPr>
            <w:r>
              <w:t>Децентрализацията на държавните политики за КТИ предвижда активно участие на общините</w:t>
            </w:r>
            <w:r w:rsidR="00C067EE">
              <w:t>, което вече го заявиха при подготовката на настоящия проект,</w:t>
            </w:r>
            <w:r>
              <w:t xml:space="preserve"> в проектирането и прилагането на процес на споделяне на ноу-хау по културно стратегическо планиране въз основа на разпоредбите на Закона за местното самоуправление и </w:t>
            </w:r>
            <w:r w:rsidR="00BA2B5C">
              <w:t>ЗЗРК</w:t>
            </w:r>
            <w:r>
              <w:t>.</w:t>
            </w:r>
            <w:r w:rsidR="006A4F29">
              <w:t xml:space="preserve"> </w:t>
            </w:r>
          </w:p>
          <w:p w14:paraId="22D93035" w14:textId="443972FE" w:rsidR="0086322C" w:rsidRPr="002A4FB8" w:rsidRDefault="00977A7A" w:rsidP="002A4FB8">
            <w:pPr>
              <w:jc w:val="both"/>
            </w:pPr>
            <w:r>
              <w:t>Програмата „Ново поколение за местни политики“</w:t>
            </w:r>
            <w:r w:rsidR="000139DD">
              <w:t xml:space="preserve"> ще улесни създаването на условия за по-добро изготвяне на политики, прилагане, повишена прозрачност, доверие и почтеност в публичния сектор</w:t>
            </w:r>
            <w:r w:rsidR="0058068C">
              <w:t xml:space="preserve"> на местно ниво</w:t>
            </w:r>
            <w:r w:rsidR="000139DD">
              <w:t>. Тя ще повиши предвидимостта и ефективността, съгласуваността и приобщаването при разработването на политики</w:t>
            </w:r>
            <w:r w:rsidR="00DF6E48">
              <w:t>,</w:t>
            </w:r>
            <w:r w:rsidR="000139DD">
              <w:t xml:space="preserve"> чрез прозрачно планиране, консултации със заинтересованите страни, оценка</w:t>
            </w:r>
            <w:r w:rsidR="00E458F2">
              <w:t xml:space="preserve"> и</w:t>
            </w:r>
            <w:r w:rsidR="000139DD">
              <w:t xml:space="preserve"> координаци</w:t>
            </w:r>
            <w:r w:rsidR="00ED5940">
              <w:t>я</w:t>
            </w:r>
            <w:r w:rsidR="000139DD">
              <w:t xml:space="preserve">. Засилване на регулаторната рамка и укрепване на механизмите за превенция и контрол. </w:t>
            </w:r>
            <w:r w:rsidR="00B352A5">
              <w:rPr>
                <w:rFonts w:eastAsia="Times New Roman"/>
                <w:u w:color="FF0000"/>
              </w:rPr>
              <w:t xml:space="preserve">Програмата ще съдейства за развитието на </w:t>
            </w:r>
            <w:r w:rsidR="0086322C">
              <w:rPr>
                <w:rFonts w:eastAsia="Times New Roman"/>
                <w:u w:color="FF0000"/>
              </w:rPr>
              <w:t xml:space="preserve"> </w:t>
            </w:r>
            <w:r w:rsidR="0086322C">
              <w:t>б</w:t>
            </w:r>
            <w:r w:rsidR="0086322C" w:rsidRPr="00607B69">
              <w:t>ългарските общини</w:t>
            </w:r>
            <w:r w:rsidR="00B352A5">
              <w:t>, които вече</w:t>
            </w:r>
            <w:r w:rsidR="0086322C" w:rsidRPr="00607B69">
              <w:t xml:space="preserve"> са разработили </w:t>
            </w:r>
            <w:r w:rsidR="0086322C" w:rsidRPr="00607B69">
              <w:rPr>
                <w:color w:val="1D2228"/>
              </w:rPr>
              <w:t>програми/фондове</w:t>
            </w:r>
            <w:r w:rsidR="0086322C" w:rsidRPr="00607B69">
              <w:t xml:space="preserve"> „Култура“ в техните бюджети</w:t>
            </w:r>
            <w:r w:rsidR="00A11C73">
              <w:t xml:space="preserve">, както и ще допринесе за създаването и укрепването на </w:t>
            </w:r>
            <w:r w:rsidR="003E5BDC">
              <w:t xml:space="preserve">нови </w:t>
            </w:r>
            <w:r w:rsidR="003E5BDC" w:rsidRPr="00607B69">
              <w:rPr>
                <w:color w:val="1D2228"/>
              </w:rPr>
              <w:t>програми/фондове</w:t>
            </w:r>
            <w:r w:rsidR="003E5BDC" w:rsidRPr="00607B69">
              <w:t xml:space="preserve"> „Култура“</w:t>
            </w:r>
            <w:r w:rsidR="00BC5CE3">
              <w:t xml:space="preserve"> на общини</w:t>
            </w:r>
            <w:r w:rsidR="003E5BDC">
              <w:t xml:space="preserve">, които не са имали финансов и административен капацитет за създаването </w:t>
            </w:r>
            <w:r w:rsidR="00BB2B08">
              <w:t>им до сега</w:t>
            </w:r>
            <w:r w:rsidR="0086322C" w:rsidRPr="00607B69">
              <w:rPr>
                <w:color w:val="1D2228"/>
              </w:rPr>
              <w:t>.</w:t>
            </w:r>
          </w:p>
          <w:p w14:paraId="3ACB3DA0" w14:textId="77777777" w:rsidR="00417AB4" w:rsidRDefault="00417AB4" w:rsidP="006A4776">
            <w:pPr>
              <w:jc w:val="both"/>
            </w:pPr>
          </w:p>
          <w:p w14:paraId="405D001B" w14:textId="77777777" w:rsidR="000139DD" w:rsidRDefault="000139DD" w:rsidP="006A4776">
            <w:pPr>
              <w:jc w:val="both"/>
            </w:pPr>
            <w:r>
              <w:t>Очаква се предвидените мерки за реформа да доведат до положителни икономически и социални резултати и да повишат устойчивостта, като се има предвид важната роля на една по-прозрачна, ефективна (</w:t>
            </w:r>
            <w:r w:rsidR="00807E07">
              <w:t xml:space="preserve">публична, </w:t>
            </w:r>
            <w:r>
              <w:t>общинска</w:t>
            </w:r>
            <w:r w:rsidR="00807E07">
              <w:t xml:space="preserve"> и гражданска</w:t>
            </w:r>
            <w:r>
              <w:t>) система за подкрепа с цел укрепване на устойчивостта и адекватно справяне с настоящите и бъдещите предизвикателства, включително цифровия и екологичния преход.</w:t>
            </w:r>
          </w:p>
          <w:p w14:paraId="76C77E45" w14:textId="68D7F849" w:rsidR="00925A78" w:rsidRPr="00070A34" w:rsidRDefault="00925A78" w:rsidP="006A4776">
            <w:pPr>
              <w:jc w:val="both"/>
            </w:pPr>
          </w:p>
        </w:tc>
      </w:tr>
      <w:tr w:rsidR="00595549" w:rsidRPr="00223742" w14:paraId="5ABF97D1" w14:textId="77777777" w:rsidTr="00AF42A3">
        <w:tc>
          <w:tcPr>
            <w:tcW w:w="9314" w:type="dxa"/>
            <w:shd w:val="clear" w:color="auto" w:fill="auto"/>
            <w:tcMar>
              <w:top w:w="100" w:type="dxa"/>
              <w:left w:w="100" w:type="dxa"/>
              <w:bottom w:w="100" w:type="dxa"/>
              <w:right w:w="100" w:type="dxa"/>
            </w:tcMar>
          </w:tcPr>
          <w:p w14:paraId="736091A0" w14:textId="77777777" w:rsidR="00595549" w:rsidRPr="00223742" w:rsidRDefault="00595549" w:rsidP="004F3A87">
            <w:pPr>
              <w:numPr>
                <w:ilvl w:val="0"/>
                <w:numId w:val="12"/>
              </w:numPr>
              <w:pBdr>
                <w:top w:val="nil"/>
                <w:left w:val="nil"/>
                <w:bottom w:val="nil"/>
                <w:right w:val="nil"/>
                <w:between w:val="nil"/>
              </w:pBdr>
              <w:jc w:val="both"/>
              <w:rPr>
                <w:b/>
              </w:rPr>
            </w:pPr>
            <w:r>
              <w:rPr>
                <w:b/>
              </w:rPr>
              <w:lastRenderedPageBreak/>
              <w:t>Допринася ли проектът за развитието на някакъв аспект на устойчивото икономическо развитие? Моля, посочете по какъв начин.</w:t>
            </w:r>
          </w:p>
        </w:tc>
      </w:tr>
      <w:tr w:rsidR="00595549" w:rsidRPr="00223742" w14:paraId="29FC6306" w14:textId="77777777" w:rsidTr="00AF42A3">
        <w:tc>
          <w:tcPr>
            <w:tcW w:w="9314" w:type="dxa"/>
            <w:shd w:val="clear" w:color="auto" w:fill="auto"/>
            <w:tcMar>
              <w:top w:w="100" w:type="dxa"/>
              <w:left w:w="100" w:type="dxa"/>
              <w:bottom w:w="100" w:type="dxa"/>
              <w:right w:w="100" w:type="dxa"/>
            </w:tcMar>
          </w:tcPr>
          <w:p w14:paraId="2DE1DC85" w14:textId="77777777" w:rsidR="00964980" w:rsidRDefault="00964980" w:rsidP="00924117">
            <w:pPr>
              <w:pStyle w:val="Default"/>
              <w:spacing w:line="276" w:lineRule="auto"/>
              <w:jc w:val="both"/>
              <w:rPr>
                <w:rFonts w:ascii="Arial" w:hAnsi="Arial"/>
                <w:sz w:val="22"/>
              </w:rPr>
            </w:pPr>
          </w:p>
          <w:p w14:paraId="03300DF6" w14:textId="500012E6" w:rsidR="00F00F0F" w:rsidRPr="00056CC3" w:rsidRDefault="00F00F0F" w:rsidP="00924117">
            <w:pPr>
              <w:pStyle w:val="Default"/>
              <w:spacing w:line="276" w:lineRule="auto"/>
              <w:jc w:val="both"/>
              <w:rPr>
                <w:rFonts w:ascii="Arial" w:hAnsi="Arial" w:cs="Arial"/>
                <w:sz w:val="22"/>
                <w:szCs w:val="22"/>
              </w:rPr>
            </w:pPr>
            <w:r>
              <w:rPr>
                <w:rFonts w:ascii="Arial" w:hAnsi="Arial"/>
                <w:sz w:val="22"/>
              </w:rPr>
              <w:t>Потенциалът на КТИ е голям, като се има предвид важната роля на културата и творчеството за икономическото и социалното развитие на градовете и регионите, както и тяхната способност да допринасят допълнително за въпросите, свързани с преодоляване на различията. Планираните инвестиции са насочени не само към възстановяване след кризата, но преди всичко към изграждане на стабилна основа за развитие, тъй като:</w:t>
            </w:r>
          </w:p>
          <w:p w14:paraId="65945275" w14:textId="7A148085" w:rsidR="00F00F0F" w:rsidRPr="00334783" w:rsidRDefault="00F00F0F" w:rsidP="004F3A87">
            <w:pPr>
              <w:pStyle w:val="ListParagraph"/>
              <w:numPr>
                <w:ilvl w:val="0"/>
                <w:numId w:val="13"/>
              </w:numPr>
              <w:jc w:val="both"/>
              <w:rPr>
                <w:rFonts w:eastAsia="Arimo"/>
              </w:rPr>
            </w:pPr>
            <w:r>
              <w:t>подкрепят жизнеспособни МСП в КТИ, които са отворени за разработване на нови технологии и екологични политики</w:t>
            </w:r>
            <w:r w:rsidR="00D20917">
              <w:t>;</w:t>
            </w:r>
          </w:p>
          <w:p w14:paraId="062C4646" w14:textId="52775EEE" w:rsidR="00F00F0F" w:rsidRPr="00334783" w:rsidRDefault="00F00F0F" w:rsidP="004F3A87">
            <w:pPr>
              <w:pStyle w:val="ListParagraph"/>
              <w:numPr>
                <w:ilvl w:val="0"/>
                <w:numId w:val="13"/>
              </w:numPr>
              <w:jc w:val="both"/>
              <w:rPr>
                <w:rFonts w:eastAsia="Arimo"/>
              </w:rPr>
            </w:pPr>
            <w:r>
              <w:t>гарантират заетост и създаване на нови работни места, особено за младите хора</w:t>
            </w:r>
            <w:r w:rsidR="00D20917">
              <w:t>;</w:t>
            </w:r>
          </w:p>
          <w:p w14:paraId="6B90A7E5" w14:textId="321B95E3" w:rsidR="00F00F0F" w:rsidRPr="00334783" w:rsidRDefault="00F00F0F" w:rsidP="004F3A87">
            <w:pPr>
              <w:pStyle w:val="ListParagraph"/>
              <w:numPr>
                <w:ilvl w:val="0"/>
                <w:numId w:val="13"/>
              </w:numPr>
              <w:jc w:val="both"/>
              <w:rPr>
                <w:rFonts w:eastAsia="Arimo"/>
              </w:rPr>
            </w:pPr>
            <w:r>
              <w:t>подобряват качеството на живот, включително в слабо развитите райони</w:t>
            </w:r>
            <w:r w:rsidR="00D20917">
              <w:t>;</w:t>
            </w:r>
          </w:p>
          <w:p w14:paraId="2785EC70" w14:textId="4D1B8345" w:rsidR="00F00F0F" w:rsidRPr="00334783" w:rsidRDefault="00F00F0F" w:rsidP="004F3A87">
            <w:pPr>
              <w:pStyle w:val="ListParagraph"/>
              <w:numPr>
                <w:ilvl w:val="0"/>
                <w:numId w:val="13"/>
              </w:numPr>
              <w:jc w:val="both"/>
              <w:rPr>
                <w:rFonts w:eastAsia="Arimo"/>
              </w:rPr>
            </w:pPr>
            <w:r>
              <w:t>създават условия за плавен преход към цифрово разпространение на културата, което обаче е адаптирано към особеностите на КТИ и нуждите на публиката</w:t>
            </w:r>
            <w:r w:rsidR="00D20917">
              <w:t>;</w:t>
            </w:r>
          </w:p>
          <w:p w14:paraId="57CC3C0F" w14:textId="6E26FCC9" w:rsidR="00F00F0F" w:rsidRPr="00334783" w:rsidRDefault="00F00F0F" w:rsidP="004F3A87">
            <w:pPr>
              <w:pStyle w:val="ListParagraph"/>
              <w:numPr>
                <w:ilvl w:val="0"/>
                <w:numId w:val="13"/>
              </w:numPr>
              <w:jc w:val="both"/>
              <w:rPr>
                <w:rFonts w:eastAsia="Arimo"/>
              </w:rPr>
            </w:pPr>
            <w:r>
              <w:t>допринасят за борбата със социалните предизвикателства като неравенство и маргинализация</w:t>
            </w:r>
            <w:r w:rsidR="00760EB4">
              <w:t xml:space="preserve"> на социални групи и региони</w:t>
            </w:r>
            <w:r w:rsidR="001F6C76">
              <w:t>;</w:t>
            </w:r>
          </w:p>
          <w:p w14:paraId="5128EE34" w14:textId="588573E5" w:rsidR="00F00F0F" w:rsidRPr="00334783" w:rsidRDefault="00F00F0F" w:rsidP="004F3A87">
            <w:pPr>
              <w:pStyle w:val="ListParagraph"/>
              <w:numPr>
                <w:ilvl w:val="0"/>
                <w:numId w:val="13"/>
              </w:numPr>
              <w:jc w:val="both"/>
              <w:rPr>
                <w:rFonts w:eastAsia="Arimo"/>
              </w:rPr>
            </w:pPr>
            <w:r>
              <w:t>увеличават икономическия принос на КТИ</w:t>
            </w:r>
            <w:r w:rsidR="00ED71FB">
              <w:t>,</w:t>
            </w:r>
            <w:r>
              <w:t xml:space="preserve"> чрез привличане на инвестиции и увеличаване на дела на приноса в свързани сектори като информационни </w:t>
            </w:r>
            <w:r>
              <w:lastRenderedPageBreak/>
              <w:t>технологии, туризъм, транспорт, образование</w:t>
            </w:r>
            <w:r w:rsidR="00ED71FB">
              <w:t xml:space="preserve"> и </w:t>
            </w:r>
            <w:r>
              <w:t>услуги</w:t>
            </w:r>
            <w:r w:rsidR="00ED71FB">
              <w:t>;</w:t>
            </w:r>
          </w:p>
          <w:p w14:paraId="2A472A2B" w14:textId="04CB528D" w:rsidR="00F00F0F" w:rsidRPr="00B86A47" w:rsidRDefault="00F00F0F" w:rsidP="004F3A87">
            <w:pPr>
              <w:pStyle w:val="ListParagraph"/>
              <w:numPr>
                <w:ilvl w:val="0"/>
                <w:numId w:val="13"/>
              </w:numPr>
              <w:jc w:val="both"/>
              <w:rPr>
                <w:rFonts w:eastAsia="Arimo"/>
              </w:rPr>
            </w:pPr>
            <w:r>
              <w:t>създават нови умения за 21-ви век за използване на новите технологии и екологичния преход.</w:t>
            </w:r>
          </w:p>
          <w:p w14:paraId="072A9E2D" w14:textId="77777777" w:rsidR="00B86A47" w:rsidRPr="00334783" w:rsidRDefault="00B86A47" w:rsidP="00B86A47">
            <w:pPr>
              <w:pStyle w:val="ListParagraph"/>
              <w:ind w:left="360"/>
              <w:jc w:val="both"/>
              <w:rPr>
                <w:rFonts w:eastAsia="Arimo"/>
              </w:rPr>
            </w:pPr>
          </w:p>
          <w:p w14:paraId="09EBF5E6" w14:textId="77777777" w:rsidR="00F00F0F" w:rsidRDefault="00F00F0F" w:rsidP="00924117">
            <w:pPr>
              <w:pStyle w:val="Default"/>
              <w:spacing w:line="276" w:lineRule="auto"/>
              <w:jc w:val="both"/>
              <w:rPr>
                <w:rFonts w:ascii="Arial" w:hAnsi="Arial"/>
                <w:sz w:val="22"/>
              </w:rPr>
            </w:pPr>
            <w:r>
              <w:rPr>
                <w:rFonts w:ascii="Arial" w:hAnsi="Arial"/>
                <w:sz w:val="22"/>
              </w:rPr>
              <w:t xml:space="preserve">Приносът на културата и творчеството за иновациите не се ограничава до прякото въздействие на КТИ, тъй като иновациите навсякъде се ръководят все повече от нетехнологични фактори като творчество, проектиране и нови организационни процеси или бизнес модели. По-специално КТИ с отделни вериги за създаване на стойност (т.е. музика, дизайн, мода, аудио-визуални, видеоигри, архитектура и т.н.) имат силен капацитет за иновации в икономическо отношение и са в състояние да стимулират иновациите в други сектори на икономиката. Една от малкото индустрии, които регистрираха ръст по време на кризата от COVID -19, е индустрията на ИТ в България. Софтуерната индустрия </w:t>
            </w:r>
            <w:r w:rsidR="00577D57">
              <w:rPr>
                <w:rFonts w:ascii="Arial" w:hAnsi="Arial"/>
                <w:sz w:val="22"/>
              </w:rPr>
              <w:t>регистрира</w:t>
            </w:r>
            <w:r>
              <w:rPr>
                <w:rFonts w:ascii="Arial" w:hAnsi="Arial"/>
                <w:sz w:val="22"/>
              </w:rPr>
              <w:t xml:space="preserve"> 10% ръст въпреки кризата. „Прогнозите са, че приходите на нашата индустрия до края на 2020 г. ще достигнат 4255 млн. лв., което е увеличение с 10 на сто спрямо предходната година. Това прави българския софтуерен сектор един от най-бързо развиващите се в държавата.“ (Българска асоциация на софтуерните компании). Секторът на информационните технологии е естествен партньор на КТИ не само в създаването на нови продукти, но и като нов сегмент в публиката за изкуствата. Освен това ИТ индустрията, която създава свои собствени продукти и марки, се нуждае от „съдържанието“, предоставено от КТИ. Проектът ще спомогне за цялостното подобряване на резултатите на КТИ в областта на цифровите технологии, измерени чрез измеренията на Индекса за навлизането на цифровите технологии в икономиката и обществото.</w:t>
            </w:r>
          </w:p>
          <w:p w14:paraId="5B92CE2C" w14:textId="05402C31" w:rsidR="00EA4746" w:rsidRPr="00203FEA" w:rsidRDefault="00EA4746" w:rsidP="00924117">
            <w:pPr>
              <w:pStyle w:val="Default"/>
              <w:spacing w:line="276" w:lineRule="auto"/>
              <w:jc w:val="both"/>
              <w:rPr>
                <w:rFonts w:ascii="Arial" w:hAnsi="Arial" w:cs="Arial"/>
                <w:sz w:val="22"/>
                <w:szCs w:val="22"/>
              </w:rPr>
            </w:pPr>
          </w:p>
        </w:tc>
      </w:tr>
      <w:tr w:rsidR="00595549" w:rsidRPr="00223742" w14:paraId="2134DEDB" w14:textId="77777777" w:rsidTr="00AF42A3">
        <w:tc>
          <w:tcPr>
            <w:tcW w:w="9314" w:type="dxa"/>
            <w:shd w:val="clear" w:color="auto" w:fill="auto"/>
            <w:tcMar>
              <w:top w:w="100" w:type="dxa"/>
              <w:left w:w="100" w:type="dxa"/>
              <w:bottom w:w="100" w:type="dxa"/>
              <w:right w:w="100" w:type="dxa"/>
            </w:tcMar>
          </w:tcPr>
          <w:p w14:paraId="526FAC61" w14:textId="77777777" w:rsidR="00595549" w:rsidRPr="00223742" w:rsidRDefault="00595549" w:rsidP="004F3A87">
            <w:pPr>
              <w:numPr>
                <w:ilvl w:val="0"/>
                <w:numId w:val="12"/>
              </w:numPr>
              <w:pBdr>
                <w:top w:val="nil"/>
                <w:left w:val="nil"/>
                <w:bottom w:val="nil"/>
                <w:right w:val="nil"/>
                <w:between w:val="nil"/>
              </w:pBdr>
              <w:jc w:val="both"/>
              <w:rPr>
                <w:b/>
              </w:rPr>
            </w:pPr>
            <w:r>
              <w:rPr>
                <w:b/>
              </w:rPr>
              <w:lastRenderedPageBreak/>
              <w:t>Допринася ли проектът за изпълнението на целите на Националната програма за развитие „БЪЛГАРИЯ 2030“? Моля, посочете по какъв начин.</w:t>
            </w:r>
          </w:p>
        </w:tc>
      </w:tr>
      <w:tr w:rsidR="00595549" w:rsidRPr="00223742" w14:paraId="443AEF7B" w14:textId="77777777" w:rsidTr="00AF42A3">
        <w:tc>
          <w:tcPr>
            <w:tcW w:w="9314" w:type="dxa"/>
            <w:shd w:val="clear" w:color="auto" w:fill="auto"/>
            <w:tcMar>
              <w:top w:w="100" w:type="dxa"/>
              <w:left w:w="100" w:type="dxa"/>
              <w:bottom w:w="100" w:type="dxa"/>
              <w:right w:w="100" w:type="dxa"/>
            </w:tcMar>
          </w:tcPr>
          <w:p w14:paraId="30B5F837" w14:textId="77777777" w:rsidR="00964980" w:rsidRDefault="00964980" w:rsidP="00924117">
            <w:pPr>
              <w:pBdr>
                <w:top w:val="nil"/>
                <w:left w:val="nil"/>
                <w:bottom w:val="nil"/>
                <w:right w:val="nil"/>
                <w:between w:val="nil"/>
              </w:pBdr>
              <w:jc w:val="both"/>
            </w:pPr>
          </w:p>
          <w:p w14:paraId="67D1DA45" w14:textId="00113F4C" w:rsidR="00416148" w:rsidRPr="00103198" w:rsidRDefault="00FB2CDB" w:rsidP="00924117">
            <w:pPr>
              <w:pBdr>
                <w:top w:val="nil"/>
                <w:left w:val="nil"/>
                <w:bottom w:val="nil"/>
                <w:right w:val="nil"/>
                <w:between w:val="nil"/>
              </w:pBdr>
              <w:jc w:val="both"/>
              <w:rPr>
                <w:rFonts w:eastAsia="Arial Bold"/>
              </w:rPr>
            </w:pPr>
            <w:r>
              <w:t>Проектът е</w:t>
            </w:r>
          </w:p>
          <w:p w14:paraId="7A2239E7" w14:textId="25034A16" w:rsidR="00FB2CDB" w:rsidRPr="00416148" w:rsidRDefault="00FB2CDB" w:rsidP="004F3A87">
            <w:pPr>
              <w:pStyle w:val="ListParagraph"/>
              <w:numPr>
                <w:ilvl w:val="0"/>
                <w:numId w:val="11"/>
              </w:numPr>
              <w:pBdr>
                <w:top w:val="nil"/>
                <w:left w:val="nil"/>
                <w:bottom w:val="nil"/>
                <w:right w:val="nil"/>
                <w:between w:val="nil"/>
              </w:pBdr>
              <w:jc w:val="both"/>
              <w:rPr>
                <w:rFonts w:eastAsia="Helvetica Neue Light"/>
              </w:rPr>
            </w:pPr>
            <w:r w:rsidRPr="00416148">
              <w:rPr>
                <w:b/>
              </w:rPr>
              <w:t>новаторски</w:t>
            </w:r>
            <w:r>
              <w:t xml:space="preserve">, доколкото създава среда за създаване на нови продукти и нови пазари и е приобщаващ към частния/независимия сектор в областта на </w:t>
            </w:r>
            <w:r w:rsidR="00220890">
              <w:t>КТИ</w:t>
            </w:r>
            <w:r>
              <w:t>;</w:t>
            </w:r>
          </w:p>
          <w:p w14:paraId="0E144663" w14:textId="7AEEFEB3" w:rsidR="00FB2CDB" w:rsidRPr="0043139B" w:rsidRDefault="00FB2CDB" w:rsidP="004F3A87">
            <w:pPr>
              <w:numPr>
                <w:ilvl w:val="0"/>
                <w:numId w:val="5"/>
              </w:numPr>
              <w:jc w:val="both"/>
              <w:rPr>
                <w:rFonts w:eastAsia="Helvetica Neue Light"/>
              </w:rPr>
            </w:pPr>
            <w:r>
              <w:t xml:space="preserve">допринася за </w:t>
            </w:r>
            <w:r>
              <w:rPr>
                <w:b/>
              </w:rPr>
              <w:t>свързана и интегрирана България</w:t>
            </w:r>
            <w:r>
              <w:t>, тъй като е насочен към равен достъп на публиката, цифрови и хибридни канали за разпространение на съдържание</w:t>
            </w:r>
            <w:r w:rsidR="00CF34AF">
              <w:t xml:space="preserve"> на</w:t>
            </w:r>
            <w:r>
              <w:t xml:space="preserve"> </w:t>
            </w:r>
            <w:r w:rsidR="00CF34AF">
              <w:t xml:space="preserve">национално, </w:t>
            </w:r>
            <w:r w:rsidR="002310A0">
              <w:t>трансгранично и мултикултурно</w:t>
            </w:r>
            <w:r w:rsidR="00CF34AF">
              <w:t xml:space="preserve"> ниво</w:t>
            </w:r>
            <w:r>
              <w:t>;</w:t>
            </w:r>
          </w:p>
          <w:p w14:paraId="3ADCF3FF" w14:textId="77777777" w:rsidR="00FB2CDB" w:rsidRPr="0043139B" w:rsidRDefault="00FB2CDB" w:rsidP="004F3A87">
            <w:pPr>
              <w:numPr>
                <w:ilvl w:val="0"/>
                <w:numId w:val="5"/>
              </w:numPr>
              <w:jc w:val="both"/>
              <w:rPr>
                <w:rFonts w:eastAsia="Arimo"/>
              </w:rPr>
            </w:pPr>
            <w:r>
              <w:t xml:space="preserve">подкрепя прехода към </w:t>
            </w:r>
            <w:r>
              <w:rPr>
                <w:b/>
              </w:rPr>
              <w:t>екологична икономика</w:t>
            </w:r>
            <w:r>
              <w:t>, доколкото насърчава МСП в КТИ да разработват нови технологии и екологични политики, освен това представлява споделяне на ресурси и ще прилага изисквания за екологична устойчивост при управлението на културни събития;</w:t>
            </w:r>
          </w:p>
          <w:p w14:paraId="2DDB8CF1" w14:textId="77777777" w:rsidR="00590978" w:rsidRPr="00C812ED" w:rsidRDefault="00FB2CDB" w:rsidP="004F3A87">
            <w:pPr>
              <w:pStyle w:val="ListParagraph"/>
              <w:numPr>
                <w:ilvl w:val="0"/>
                <w:numId w:val="5"/>
              </w:numPr>
              <w:pBdr>
                <w:top w:val="nil"/>
                <w:left w:val="nil"/>
                <w:bottom w:val="nil"/>
                <w:right w:val="nil"/>
                <w:between w:val="nil"/>
              </w:pBdr>
              <w:jc w:val="both"/>
              <w:rPr>
                <w:rFonts w:eastAsia="Arimo"/>
              </w:rPr>
            </w:pPr>
            <w:r>
              <w:t xml:space="preserve">работи за </w:t>
            </w:r>
            <w:r>
              <w:rPr>
                <w:b/>
              </w:rPr>
              <w:t>постигане на справедливост и добро управление</w:t>
            </w:r>
            <w:r w:rsidR="00F228A8">
              <w:rPr>
                <w:b/>
              </w:rPr>
              <w:t>,</w:t>
            </w:r>
            <w:r>
              <w:t xml:space="preserve"> чрез реформиране на публичните инвестиции и децентрализация на държавните политики и предлагане на мерки за повишаване на ефективността на публичната администрация в областта на културата </w:t>
            </w:r>
            <w:r w:rsidR="009A3ECD">
              <w:t>на национално и общинско ниво</w:t>
            </w:r>
            <w:r>
              <w:t xml:space="preserve"> за справянето с</w:t>
            </w:r>
            <w:r w:rsidR="00C6590D">
              <w:t>ъс съвременните</w:t>
            </w:r>
            <w:r>
              <w:t xml:space="preserve"> предизвикателства.</w:t>
            </w:r>
          </w:p>
          <w:p w14:paraId="31A93AA1" w14:textId="38A505C8" w:rsidR="00C812ED" w:rsidRPr="00203FEA" w:rsidRDefault="00C812ED" w:rsidP="00D161B4">
            <w:pPr>
              <w:pStyle w:val="ListParagraph"/>
              <w:pBdr>
                <w:top w:val="nil"/>
                <w:left w:val="nil"/>
                <w:bottom w:val="nil"/>
                <w:right w:val="nil"/>
                <w:between w:val="nil"/>
              </w:pBdr>
              <w:jc w:val="both"/>
              <w:rPr>
                <w:rFonts w:eastAsia="Arimo"/>
              </w:rPr>
            </w:pPr>
          </w:p>
        </w:tc>
      </w:tr>
      <w:tr w:rsidR="00595549" w:rsidRPr="00223742" w14:paraId="7F11FEEB" w14:textId="77777777" w:rsidTr="00AF42A3">
        <w:tc>
          <w:tcPr>
            <w:tcW w:w="9314" w:type="dxa"/>
            <w:shd w:val="clear" w:color="auto" w:fill="auto"/>
            <w:tcMar>
              <w:top w:w="100" w:type="dxa"/>
              <w:left w:w="100" w:type="dxa"/>
              <w:bottom w:w="100" w:type="dxa"/>
              <w:right w:w="100" w:type="dxa"/>
            </w:tcMar>
          </w:tcPr>
          <w:p w14:paraId="240215FB" w14:textId="77777777" w:rsidR="00595549" w:rsidRPr="00223742" w:rsidRDefault="00595549" w:rsidP="004F3A87">
            <w:pPr>
              <w:numPr>
                <w:ilvl w:val="0"/>
                <w:numId w:val="12"/>
              </w:numPr>
              <w:pBdr>
                <w:top w:val="nil"/>
                <w:left w:val="nil"/>
                <w:bottom w:val="nil"/>
                <w:right w:val="nil"/>
                <w:between w:val="nil"/>
              </w:pBdr>
              <w:jc w:val="both"/>
              <w:rPr>
                <w:b/>
              </w:rPr>
            </w:pPr>
            <w:r>
              <w:rPr>
                <w:b/>
              </w:rPr>
              <w:t xml:space="preserve">Допринася ли проектът за изпълнението на целите и приоритетите, </w:t>
            </w:r>
            <w:r>
              <w:rPr>
                <w:b/>
              </w:rPr>
              <w:lastRenderedPageBreak/>
              <w:t>определени в Интегрирания национален план в областта на енергетиката и климата? Ако отговорът е „да“, моля, опишете по какъв начин.</w:t>
            </w:r>
          </w:p>
        </w:tc>
      </w:tr>
      <w:tr w:rsidR="00595549" w:rsidRPr="00223742" w14:paraId="7B53CABE" w14:textId="77777777" w:rsidTr="00AF42A3">
        <w:tc>
          <w:tcPr>
            <w:tcW w:w="9314" w:type="dxa"/>
            <w:shd w:val="clear" w:color="auto" w:fill="auto"/>
            <w:tcMar>
              <w:top w:w="100" w:type="dxa"/>
              <w:left w:w="100" w:type="dxa"/>
              <w:bottom w:w="100" w:type="dxa"/>
              <w:right w:w="100" w:type="dxa"/>
            </w:tcMar>
          </w:tcPr>
          <w:p w14:paraId="706D7B2C" w14:textId="2F7607F7" w:rsidR="00C03BC6" w:rsidRDefault="00CD2E55" w:rsidP="00924117">
            <w:pPr>
              <w:pBdr>
                <w:top w:val="nil"/>
                <w:left w:val="nil"/>
                <w:bottom w:val="nil"/>
                <w:right w:val="nil"/>
                <w:between w:val="nil"/>
              </w:pBdr>
              <w:spacing w:before="120" w:after="120"/>
              <w:jc w:val="both"/>
            </w:pPr>
            <w:r>
              <w:lastRenderedPageBreak/>
              <w:t>КТИ до голяма степен са нисковъглеродна индустрия. Като междусекторна цел проектът ще насърчава практики, които отчитат въздействието върху околната среда и екологичния подход на дейностите. Продуктите от проекта ще покажат, че не вредят съществено на околната среда.</w:t>
            </w:r>
          </w:p>
          <w:p w14:paraId="67841488" w14:textId="77777777" w:rsidR="005F2163" w:rsidRDefault="00595549" w:rsidP="00924117">
            <w:pPr>
              <w:pBdr>
                <w:top w:val="nil"/>
                <w:left w:val="nil"/>
                <w:bottom w:val="nil"/>
                <w:right w:val="nil"/>
                <w:between w:val="nil"/>
              </w:pBdr>
              <w:spacing w:before="120" w:after="120"/>
              <w:jc w:val="both"/>
            </w:pPr>
            <w:r>
              <w:t>Като се взема предвид, че културните и творческите сектори и индустрии са от жизненоважно значение за постигането на екологична устойчивост и ще трябва да останат финансирани по подходящ начин и идентифицирани като безопасна инвестиция, за да бъдат подготвени за прехода към икономика, неутрална по отношение на въглеродните емисии, в съответствие с Европейски зелен пакт, Целите за устойчиво развитие и Регламента относно таксономията.</w:t>
            </w:r>
          </w:p>
          <w:p w14:paraId="38644FBD" w14:textId="687EE780" w:rsidR="00DB32EA" w:rsidRPr="009315EF" w:rsidRDefault="00DB32EA" w:rsidP="00924117">
            <w:pPr>
              <w:pBdr>
                <w:top w:val="nil"/>
                <w:left w:val="nil"/>
                <w:bottom w:val="nil"/>
                <w:right w:val="nil"/>
                <w:between w:val="nil"/>
              </w:pBdr>
              <w:spacing w:before="120" w:after="120"/>
              <w:jc w:val="both"/>
              <w:rPr>
                <w:bCs/>
              </w:rPr>
            </w:pPr>
          </w:p>
        </w:tc>
      </w:tr>
    </w:tbl>
    <w:p w14:paraId="5895C6FE" w14:textId="77777777" w:rsidR="00FE7C56" w:rsidRPr="009315EF" w:rsidRDefault="00FE7C56" w:rsidP="00C471BB"/>
    <w:sectPr w:rsidR="00FE7C56" w:rsidRPr="009315EF" w:rsidSect="004E48B4">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E8973" w14:textId="77777777" w:rsidR="00BB2D1F" w:rsidRDefault="00BB2D1F">
      <w:pPr>
        <w:spacing w:line="240" w:lineRule="auto"/>
      </w:pPr>
      <w:r>
        <w:separator/>
      </w:r>
    </w:p>
  </w:endnote>
  <w:endnote w:type="continuationSeparator" w:id="0">
    <w:p w14:paraId="2DFE0D96" w14:textId="77777777" w:rsidR="00BB2D1F" w:rsidRDefault="00BB2D1F">
      <w:pPr>
        <w:spacing w:line="240" w:lineRule="auto"/>
      </w:pPr>
      <w:r>
        <w:continuationSeparator/>
      </w:r>
    </w:p>
  </w:endnote>
  <w:endnote w:type="continuationNotice" w:id="1">
    <w:p w14:paraId="0FB29E84" w14:textId="77777777" w:rsidR="00BB2D1F" w:rsidRDefault="00BB2D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mo">
    <w:altName w:val="Cambria"/>
    <w:charset w:val="00"/>
    <w:family w:val="auto"/>
    <w:pitch w:val="default"/>
  </w:font>
  <w:font w:name="Arial Bold">
    <w:altName w:val="Arial"/>
    <w:panose1 w:val="020B0704020202020204"/>
    <w:charset w:val="00"/>
    <w:family w:val="auto"/>
    <w:pitch w:val="default"/>
  </w:font>
  <w:font w:name="Helvetica Neue Light">
    <w:altName w:val="HELVETICA NEUE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96A9" w14:textId="77777777" w:rsidR="00207BC8" w:rsidRDefault="00207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85589"/>
      <w:docPartObj>
        <w:docPartGallery w:val="Page Numbers (Bottom of Page)"/>
        <w:docPartUnique/>
      </w:docPartObj>
    </w:sdtPr>
    <w:sdtEndPr>
      <w:rPr>
        <w:noProof/>
      </w:rPr>
    </w:sdtEndPr>
    <w:sdtContent>
      <w:p w14:paraId="55C06882" w14:textId="568E7ED8" w:rsidR="007A2F60" w:rsidRDefault="007A2F60" w:rsidP="000750BB">
        <w:pPr>
          <w:pStyle w:val="Footer"/>
          <w:jc w:val="right"/>
        </w:pPr>
        <w:r>
          <w:t xml:space="preserve">Страница </w:t>
        </w:r>
        <w:r>
          <w:fldChar w:fldCharType="begin"/>
        </w:r>
        <w:r>
          <w:instrText xml:space="preserve"> PAGE   \* MERGEFORMAT </w:instrText>
        </w:r>
        <w:r>
          <w:fldChar w:fldCharType="separate"/>
        </w:r>
        <w:r w:rsidR="00D17050">
          <w:rPr>
            <w:noProof/>
          </w:rPr>
          <w:t>1</w:t>
        </w:r>
        <w:r>
          <w:fldChar w:fldCharType="end"/>
        </w:r>
      </w:p>
    </w:sdtContent>
  </w:sdt>
  <w:p w14:paraId="517625D5" w14:textId="77777777" w:rsidR="007A2F60" w:rsidRDefault="007A2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BC7F9" w14:textId="77777777" w:rsidR="00207BC8" w:rsidRDefault="00207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BC7F0" w14:textId="77777777" w:rsidR="00BB2D1F" w:rsidRDefault="00BB2D1F">
      <w:pPr>
        <w:spacing w:line="240" w:lineRule="auto"/>
      </w:pPr>
      <w:r>
        <w:separator/>
      </w:r>
    </w:p>
  </w:footnote>
  <w:footnote w:type="continuationSeparator" w:id="0">
    <w:p w14:paraId="40429506" w14:textId="77777777" w:rsidR="00BB2D1F" w:rsidRDefault="00BB2D1F">
      <w:pPr>
        <w:spacing w:line="240" w:lineRule="auto"/>
      </w:pPr>
      <w:r>
        <w:continuationSeparator/>
      </w:r>
    </w:p>
  </w:footnote>
  <w:footnote w:type="continuationNotice" w:id="1">
    <w:p w14:paraId="3E368C9F" w14:textId="77777777" w:rsidR="00BB2D1F" w:rsidRDefault="00BB2D1F">
      <w:pPr>
        <w:spacing w:line="240" w:lineRule="auto"/>
      </w:pPr>
    </w:p>
  </w:footnote>
  <w:footnote w:id="2">
    <w:p w14:paraId="7714BCA7" w14:textId="77777777" w:rsidR="007A2F60" w:rsidRDefault="007A2F60">
      <w:pPr>
        <w:spacing w:line="240" w:lineRule="auto"/>
        <w:rPr>
          <w:sz w:val="20"/>
          <w:szCs w:val="20"/>
        </w:rPr>
      </w:pPr>
      <w:r>
        <w:rPr>
          <w:vertAlign w:val="superscript"/>
        </w:rPr>
        <w:footnoteRef/>
      </w:r>
      <w:r>
        <w:rPr>
          <w:sz w:val="20"/>
        </w:rPr>
        <w:t xml:space="preserve"> Графикът е от значение за определяне на междинните цели в рамките на Плана за възстановяване и устойчивост и е пряко свързан с изплащането на траншове от безвъзмездни средства от Фонда за възстановяване и устойчивост.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B36D5" w14:textId="77777777" w:rsidR="00207BC8" w:rsidRDefault="00207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9C384" w14:textId="77777777" w:rsidR="007A2F60" w:rsidRDefault="007A2F60">
    <w:pPr>
      <w:pStyle w:val="Header"/>
      <w:jc w:val="right"/>
    </w:pPr>
  </w:p>
  <w:p w14:paraId="0B2E7533" w14:textId="77777777" w:rsidR="007A2F60" w:rsidRDefault="007A2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D0A67" w14:textId="77777777" w:rsidR="00207BC8" w:rsidRDefault="00207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1D26"/>
    <w:multiLevelType w:val="hybridMultilevel"/>
    <w:tmpl w:val="B71E7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85069"/>
    <w:multiLevelType w:val="hybridMultilevel"/>
    <w:tmpl w:val="43CC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F2BCA"/>
    <w:multiLevelType w:val="hybridMultilevel"/>
    <w:tmpl w:val="5218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C5166"/>
    <w:multiLevelType w:val="hybridMultilevel"/>
    <w:tmpl w:val="0D04D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A544EF"/>
    <w:multiLevelType w:val="hybridMultilevel"/>
    <w:tmpl w:val="97B6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00F84"/>
    <w:multiLevelType w:val="hybridMultilevel"/>
    <w:tmpl w:val="B5482F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35508"/>
    <w:multiLevelType w:val="hybridMultilevel"/>
    <w:tmpl w:val="BDCE1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2940F1"/>
    <w:multiLevelType w:val="hybridMultilevel"/>
    <w:tmpl w:val="2BA0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16A02"/>
    <w:multiLevelType w:val="hybridMultilevel"/>
    <w:tmpl w:val="5D5E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17A8F"/>
    <w:multiLevelType w:val="hybridMultilevel"/>
    <w:tmpl w:val="15D8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00A73"/>
    <w:multiLevelType w:val="hybridMultilevel"/>
    <w:tmpl w:val="3ABC8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9C549B"/>
    <w:multiLevelType w:val="hybridMultilevel"/>
    <w:tmpl w:val="BFC6AB7E"/>
    <w:lvl w:ilvl="0" w:tplc="A25878B8">
      <w:numFmt w:val="bullet"/>
      <w:lvlText w:val="·"/>
      <w:lvlJc w:val="left"/>
      <w:pPr>
        <w:ind w:left="440" w:hanging="44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9852EB"/>
    <w:multiLevelType w:val="hybridMultilevel"/>
    <w:tmpl w:val="B974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FA430A"/>
    <w:multiLevelType w:val="multilevel"/>
    <w:tmpl w:val="3296FCB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DB629F8"/>
    <w:multiLevelType w:val="hybridMultilevel"/>
    <w:tmpl w:val="117657E4"/>
    <w:lvl w:ilvl="0" w:tplc="0ED2E008">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31B0F"/>
    <w:multiLevelType w:val="multilevel"/>
    <w:tmpl w:val="8E0C0B3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7F3A2437"/>
    <w:multiLevelType w:val="multilevel"/>
    <w:tmpl w:val="EFE49F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5"/>
  </w:num>
  <w:num w:numId="3">
    <w:abstractNumId w:val="0"/>
  </w:num>
  <w:num w:numId="4">
    <w:abstractNumId w:val="12"/>
  </w:num>
  <w:num w:numId="5">
    <w:abstractNumId w:val="2"/>
  </w:num>
  <w:num w:numId="6">
    <w:abstractNumId w:val="8"/>
  </w:num>
  <w:num w:numId="7">
    <w:abstractNumId w:val="4"/>
  </w:num>
  <w:num w:numId="8">
    <w:abstractNumId w:val="6"/>
  </w:num>
  <w:num w:numId="9">
    <w:abstractNumId w:val="9"/>
  </w:num>
  <w:num w:numId="10">
    <w:abstractNumId w:val="1"/>
  </w:num>
  <w:num w:numId="11">
    <w:abstractNumId w:val="7"/>
  </w:num>
  <w:num w:numId="12">
    <w:abstractNumId w:val="13"/>
  </w:num>
  <w:num w:numId="13">
    <w:abstractNumId w:val="10"/>
  </w:num>
  <w:num w:numId="14">
    <w:abstractNumId w:val="14"/>
  </w:num>
  <w:num w:numId="15">
    <w:abstractNumId w:val="15"/>
  </w:num>
  <w:num w:numId="16">
    <w:abstractNumId w:val="3"/>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56"/>
    <w:rsid w:val="00000EE2"/>
    <w:rsid w:val="00004D60"/>
    <w:rsid w:val="0000587C"/>
    <w:rsid w:val="00006373"/>
    <w:rsid w:val="00007DD5"/>
    <w:rsid w:val="0001072C"/>
    <w:rsid w:val="00011B23"/>
    <w:rsid w:val="00011DEC"/>
    <w:rsid w:val="000128F1"/>
    <w:rsid w:val="000139DD"/>
    <w:rsid w:val="0001445D"/>
    <w:rsid w:val="000149E3"/>
    <w:rsid w:val="000163A7"/>
    <w:rsid w:val="000173A9"/>
    <w:rsid w:val="000175AC"/>
    <w:rsid w:val="00020012"/>
    <w:rsid w:val="000201CD"/>
    <w:rsid w:val="0002099A"/>
    <w:rsid w:val="00022CF0"/>
    <w:rsid w:val="000233E8"/>
    <w:rsid w:val="0002395A"/>
    <w:rsid w:val="000248CA"/>
    <w:rsid w:val="00024902"/>
    <w:rsid w:val="00024D32"/>
    <w:rsid w:val="00026E61"/>
    <w:rsid w:val="0002745C"/>
    <w:rsid w:val="000274EF"/>
    <w:rsid w:val="00027744"/>
    <w:rsid w:val="00027963"/>
    <w:rsid w:val="00027DD2"/>
    <w:rsid w:val="000315E1"/>
    <w:rsid w:val="0003346B"/>
    <w:rsid w:val="000351F8"/>
    <w:rsid w:val="00036EF7"/>
    <w:rsid w:val="000377AF"/>
    <w:rsid w:val="0004009E"/>
    <w:rsid w:val="000401AB"/>
    <w:rsid w:val="000417A6"/>
    <w:rsid w:val="00041EA7"/>
    <w:rsid w:val="000423F5"/>
    <w:rsid w:val="000427E4"/>
    <w:rsid w:val="00042A92"/>
    <w:rsid w:val="00043431"/>
    <w:rsid w:val="00043C6A"/>
    <w:rsid w:val="00046129"/>
    <w:rsid w:val="000465AE"/>
    <w:rsid w:val="00046CB2"/>
    <w:rsid w:val="00047729"/>
    <w:rsid w:val="00047C52"/>
    <w:rsid w:val="0005018C"/>
    <w:rsid w:val="0005482F"/>
    <w:rsid w:val="0005558E"/>
    <w:rsid w:val="00055991"/>
    <w:rsid w:val="000568F6"/>
    <w:rsid w:val="00060ECC"/>
    <w:rsid w:val="00062B83"/>
    <w:rsid w:val="00063279"/>
    <w:rsid w:val="00064192"/>
    <w:rsid w:val="000641C4"/>
    <w:rsid w:val="00064DD8"/>
    <w:rsid w:val="00065974"/>
    <w:rsid w:val="00067256"/>
    <w:rsid w:val="00070A34"/>
    <w:rsid w:val="0007107B"/>
    <w:rsid w:val="00071E6E"/>
    <w:rsid w:val="000750BB"/>
    <w:rsid w:val="000772FE"/>
    <w:rsid w:val="00081F51"/>
    <w:rsid w:val="00082BE8"/>
    <w:rsid w:val="00082CA5"/>
    <w:rsid w:val="00084198"/>
    <w:rsid w:val="00084345"/>
    <w:rsid w:val="00084E8D"/>
    <w:rsid w:val="000851AE"/>
    <w:rsid w:val="000923D5"/>
    <w:rsid w:val="00093D16"/>
    <w:rsid w:val="00094131"/>
    <w:rsid w:val="0009443C"/>
    <w:rsid w:val="00095B31"/>
    <w:rsid w:val="00095E80"/>
    <w:rsid w:val="00095FDC"/>
    <w:rsid w:val="0009668A"/>
    <w:rsid w:val="00096A9B"/>
    <w:rsid w:val="00097304"/>
    <w:rsid w:val="00097558"/>
    <w:rsid w:val="000975B8"/>
    <w:rsid w:val="00097821"/>
    <w:rsid w:val="000A031A"/>
    <w:rsid w:val="000A085E"/>
    <w:rsid w:val="000A0DF9"/>
    <w:rsid w:val="000A0FDB"/>
    <w:rsid w:val="000A124F"/>
    <w:rsid w:val="000A2B08"/>
    <w:rsid w:val="000A4CB5"/>
    <w:rsid w:val="000A5D28"/>
    <w:rsid w:val="000A638A"/>
    <w:rsid w:val="000A715D"/>
    <w:rsid w:val="000A75F0"/>
    <w:rsid w:val="000B0CBA"/>
    <w:rsid w:val="000B0D88"/>
    <w:rsid w:val="000B1865"/>
    <w:rsid w:val="000B2812"/>
    <w:rsid w:val="000B41FA"/>
    <w:rsid w:val="000B431D"/>
    <w:rsid w:val="000B5BFD"/>
    <w:rsid w:val="000B7021"/>
    <w:rsid w:val="000C055C"/>
    <w:rsid w:val="000C1C31"/>
    <w:rsid w:val="000C25CA"/>
    <w:rsid w:val="000C4B49"/>
    <w:rsid w:val="000C5D95"/>
    <w:rsid w:val="000C6832"/>
    <w:rsid w:val="000D1127"/>
    <w:rsid w:val="000D1D36"/>
    <w:rsid w:val="000D26AC"/>
    <w:rsid w:val="000D28ED"/>
    <w:rsid w:val="000D3011"/>
    <w:rsid w:val="000D3DCE"/>
    <w:rsid w:val="000D5C1B"/>
    <w:rsid w:val="000D67AE"/>
    <w:rsid w:val="000E0041"/>
    <w:rsid w:val="000E1703"/>
    <w:rsid w:val="000E2479"/>
    <w:rsid w:val="000E27EA"/>
    <w:rsid w:val="000E3C2D"/>
    <w:rsid w:val="000E45AB"/>
    <w:rsid w:val="000E548A"/>
    <w:rsid w:val="000E5DA7"/>
    <w:rsid w:val="000E6518"/>
    <w:rsid w:val="000F035B"/>
    <w:rsid w:val="000F0733"/>
    <w:rsid w:val="000F1102"/>
    <w:rsid w:val="000F19A4"/>
    <w:rsid w:val="000F27D9"/>
    <w:rsid w:val="000F2B6E"/>
    <w:rsid w:val="000F3B96"/>
    <w:rsid w:val="000F4B69"/>
    <w:rsid w:val="000F6846"/>
    <w:rsid w:val="000F69E4"/>
    <w:rsid w:val="001002B7"/>
    <w:rsid w:val="001002E8"/>
    <w:rsid w:val="0010223D"/>
    <w:rsid w:val="00103198"/>
    <w:rsid w:val="0010324B"/>
    <w:rsid w:val="00103E6E"/>
    <w:rsid w:val="00105740"/>
    <w:rsid w:val="00106923"/>
    <w:rsid w:val="00107739"/>
    <w:rsid w:val="00110C2A"/>
    <w:rsid w:val="00111B51"/>
    <w:rsid w:val="00111CF5"/>
    <w:rsid w:val="001126BF"/>
    <w:rsid w:val="00112B23"/>
    <w:rsid w:val="00112BC6"/>
    <w:rsid w:val="001133B6"/>
    <w:rsid w:val="0011423A"/>
    <w:rsid w:val="001143D6"/>
    <w:rsid w:val="00117018"/>
    <w:rsid w:val="00117BE6"/>
    <w:rsid w:val="0012127F"/>
    <w:rsid w:val="00121504"/>
    <w:rsid w:val="00121B88"/>
    <w:rsid w:val="001232E1"/>
    <w:rsid w:val="00126573"/>
    <w:rsid w:val="0012686A"/>
    <w:rsid w:val="001269E9"/>
    <w:rsid w:val="0012709E"/>
    <w:rsid w:val="00130DDD"/>
    <w:rsid w:val="0013195A"/>
    <w:rsid w:val="00133477"/>
    <w:rsid w:val="0013444A"/>
    <w:rsid w:val="001345CF"/>
    <w:rsid w:val="00136585"/>
    <w:rsid w:val="00136BC4"/>
    <w:rsid w:val="00136E6B"/>
    <w:rsid w:val="0013754C"/>
    <w:rsid w:val="00140735"/>
    <w:rsid w:val="00141A79"/>
    <w:rsid w:val="001420E1"/>
    <w:rsid w:val="0014224E"/>
    <w:rsid w:val="00142E70"/>
    <w:rsid w:val="0014425B"/>
    <w:rsid w:val="00144811"/>
    <w:rsid w:val="0014565D"/>
    <w:rsid w:val="001466FE"/>
    <w:rsid w:val="00147984"/>
    <w:rsid w:val="00147D26"/>
    <w:rsid w:val="00151BB9"/>
    <w:rsid w:val="001522B2"/>
    <w:rsid w:val="00152C7E"/>
    <w:rsid w:val="00153477"/>
    <w:rsid w:val="00155A22"/>
    <w:rsid w:val="001568B3"/>
    <w:rsid w:val="00157032"/>
    <w:rsid w:val="001600AF"/>
    <w:rsid w:val="00160E9B"/>
    <w:rsid w:val="001630F2"/>
    <w:rsid w:val="00165625"/>
    <w:rsid w:val="00170870"/>
    <w:rsid w:val="0017145A"/>
    <w:rsid w:val="00171944"/>
    <w:rsid w:val="00172041"/>
    <w:rsid w:val="001729A0"/>
    <w:rsid w:val="00174682"/>
    <w:rsid w:val="00174B71"/>
    <w:rsid w:val="001808DF"/>
    <w:rsid w:val="00181302"/>
    <w:rsid w:val="00181EBF"/>
    <w:rsid w:val="00183184"/>
    <w:rsid w:val="00184A54"/>
    <w:rsid w:val="0018736B"/>
    <w:rsid w:val="00190B49"/>
    <w:rsid w:val="00193527"/>
    <w:rsid w:val="0019356E"/>
    <w:rsid w:val="001936D2"/>
    <w:rsid w:val="00193CBE"/>
    <w:rsid w:val="00194501"/>
    <w:rsid w:val="0019523C"/>
    <w:rsid w:val="001A0575"/>
    <w:rsid w:val="001A060F"/>
    <w:rsid w:val="001A5179"/>
    <w:rsid w:val="001A6218"/>
    <w:rsid w:val="001A65BB"/>
    <w:rsid w:val="001A6C06"/>
    <w:rsid w:val="001A6E6D"/>
    <w:rsid w:val="001A7362"/>
    <w:rsid w:val="001A76BE"/>
    <w:rsid w:val="001A79BA"/>
    <w:rsid w:val="001A7D80"/>
    <w:rsid w:val="001B0CC5"/>
    <w:rsid w:val="001B1513"/>
    <w:rsid w:val="001B19C0"/>
    <w:rsid w:val="001B30F7"/>
    <w:rsid w:val="001B367D"/>
    <w:rsid w:val="001B3788"/>
    <w:rsid w:val="001B5D13"/>
    <w:rsid w:val="001B70D8"/>
    <w:rsid w:val="001B7929"/>
    <w:rsid w:val="001C553A"/>
    <w:rsid w:val="001C61D9"/>
    <w:rsid w:val="001C6DB8"/>
    <w:rsid w:val="001D0D0A"/>
    <w:rsid w:val="001D170E"/>
    <w:rsid w:val="001D2721"/>
    <w:rsid w:val="001D2F23"/>
    <w:rsid w:val="001D3805"/>
    <w:rsid w:val="001D4399"/>
    <w:rsid w:val="001D47EA"/>
    <w:rsid w:val="001D59AA"/>
    <w:rsid w:val="001D6672"/>
    <w:rsid w:val="001D6733"/>
    <w:rsid w:val="001D6900"/>
    <w:rsid w:val="001D7685"/>
    <w:rsid w:val="001D7CFA"/>
    <w:rsid w:val="001E1422"/>
    <w:rsid w:val="001E3661"/>
    <w:rsid w:val="001E4D58"/>
    <w:rsid w:val="001E521C"/>
    <w:rsid w:val="001E6D2F"/>
    <w:rsid w:val="001E6E3B"/>
    <w:rsid w:val="001E77DC"/>
    <w:rsid w:val="001E7911"/>
    <w:rsid w:val="001F192F"/>
    <w:rsid w:val="001F23AB"/>
    <w:rsid w:val="001F2E06"/>
    <w:rsid w:val="001F69C5"/>
    <w:rsid w:val="001F6C76"/>
    <w:rsid w:val="001F7FA6"/>
    <w:rsid w:val="0020021C"/>
    <w:rsid w:val="00200675"/>
    <w:rsid w:val="00201F85"/>
    <w:rsid w:val="002038FE"/>
    <w:rsid w:val="00203FEA"/>
    <w:rsid w:val="00204B8B"/>
    <w:rsid w:val="00206072"/>
    <w:rsid w:val="00206637"/>
    <w:rsid w:val="00206A2F"/>
    <w:rsid w:val="00207BC8"/>
    <w:rsid w:val="0021039D"/>
    <w:rsid w:val="00211345"/>
    <w:rsid w:val="002117FC"/>
    <w:rsid w:val="002126DF"/>
    <w:rsid w:val="00213C6A"/>
    <w:rsid w:val="00213FA7"/>
    <w:rsid w:val="00215B8C"/>
    <w:rsid w:val="00215C10"/>
    <w:rsid w:val="00220890"/>
    <w:rsid w:val="002216B0"/>
    <w:rsid w:val="00221B6F"/>
    <w:rsid w:val="00223742"/>
    <w:rsid w:val="00223910"/>
    <w:rsid w:val="002240F9"/>
    <w:rsid w:val="0022475C"/>
    <w:rsid w:val="002255EC"/>
    <w:rsid w:val="002267AD"/>
    <w:rsid w:val="00227467"/>
    <w:rsid w:val="00227671"/>
    <w:rsid w:val="002310A0"/>
    <w:rsid w:val="0023157F"/>
    <w:rsid w:val="002328D9"/>
    <w:rsid w:val="002337AA"/>
    <w:rsid w:val="00233885"/>
    <w:rsid w:val="00234156"/>
    <w:rsid w:val="002345AD"/>
    <w:rsid w:val="00234DAD"/>
    <w:rsid w:val="00237769"/>
    <w:rsid w:val="00237B44"/>
    <w:rsid w:val="00237C1D"/>
    <w:rsid w:val="002409B9"/>
    <w:rsid w:val="0024102F"/>
    <w:rsid w:val="002411D7"/>
    <w:rsid w:val="00241A7C"/>
    <w:rsid w:val="00241D53"/>
    <w:rsid w:val="00241E28"/>
    <w:rsid w:val="00243D64"/>
    <w:rsid w:val="00243DE0"/>
    <w:rsid w:val="00245532"/>
    <w:rsid w:val="002455F0"/>
    <w:rsid w:val="00246F53"/>
    <w:rsid w:val="002472A3"/>
    <w:rsid w:val="00247F2E"/>
    <w:rsid w:val="00250317"/>
    <w:rsid w:val="00250B3B"/>
    <w:rsid w:val="002512C0"/>
    <w:rsid w:val="0025165B"/>
    <w:rsid w:val="002520FD"/>
    <w:rsid w:val="00252CD0"/>
    <w:rsid w:val="00253DE9"/>
    <w:rsid w:val="00254188"/>
    <w:rsid w:val="00254644"/>
    <w:rsid w:val="00257293"/>
    <w:rsid w:val="00257D21"/>
    <w:rsid w:val="00260337"/>
    <w:rsid w:val="002604E8"/>
    <w:rsid w:val="00261424"/>
    <w:rsid w:val="00261948"/>
    <w:rsid w:val="002619F7"/>
    <w:rsid w:val="00261CEA"/>
    <w:rsid w:val="002636F1"/>
    <w:rsid w:val="00263881"/>
    <w:rsid w:val="002641C6"/>
    <w:rsid w:val="00264E1D"/>
    <w:rsid w:val="002651FA"/>
    <w:rsid w:val="002669CB"/>
    <w:rsid w:val="0026754B"/>
    <w:rsid w:val="0027191B"/>
    <w:rsid w:val="0027197F"/>
    <w:rsid w:val="00272FAC"/>
    <w:rsid w:val="002768F8"/>
    <w:rsid w:val="00276A5F"/>
    <w:rsid w:val="00276D08"/>
    <w:rsid w:val="00277162"/>
    <w:rsid w:val="00280CF1"/>
    <w:rsid w:val="00281D10"/>
    <w:rsid w:val="00281E0A"/>
    <w:rsid w:val="002863BA"/>
    <w:rsid w:val="00286FC6"/>
    <w:rsid w:val="00286FE7"/>
    <w:rsid w:val="00287345"/>
    <w:rsid w:val="002942F4"/>
    <w:rsid w:val="00294484"/>
    <w:rsid w:val="00295A92"/>
    <w:rsid w:val="002968DE"/>
    <w:rsid w:val="00296BEE"/>
    <w:rsid w:val="002979AB"/>
    <w:rsid w:val="002A1B55"/>
    <w:rsid w:val="002A3782"/>
    <w:rsid w:val="002A3B37"/>
    <w:rsid w:val="002A4FB8"/>
    <w:rsid w:val="002A6D03"/>
    <w:rsid w:val="002B237C"/>
    <w:rsid w:val="002B4BF5"/>
    <w:rsid w:val="002B510D"/>
    <w:rsid w:val="002B5839"/>
    <w:rsid w:val="002B5BCA"/>
    <w:rsid w:val="002B6865"/>
    <w:rsid w:val="002B7515"/>
    <w:rsid w:val="002C0616"/>
    <w:rsid w:val="002C3276"/>
    <w:rsid w:val="002C5858"/>
    <w:rsid w:val="002C665A"/>
    <w:rsid w:val="002C6C1E"/>
    <w:rsid w:val="002D1ED6"/>
    <w:rsid w:val="002D2AC9"/>
    <w:rsid w:val="002D2F2A"/>
    <w:rsid w:val="002D3F13"/>
    <w:rsid w:val="002D50E8"/>
    <w:rsid w:val="002D645B"/>
    <w:rsid w:val="002E2074"/>
    <w:rsid w:val="002E243A"/>
    <w:rsid w:val="002E28C5"/>
    <w:rsid w:val="002E2FC3"/>
    <w:rsid w:val="002E5BE4"/>
    <w:rsid w:val="002E5E54"/>
    <w:rsid w:val="002E7705"/>
    <w:rsid w:val="002E78DB"/>
    <w:rsid w:val="002E7E81"/>
    <w:rsid w:val="002F0935"/>
    <w:rsid w:val="002F24BD"/>
    <w:rsid w:val="002F2670"/>
    <w:rsid w:val="002F28AC"/>
    <w:rsid w:val="002F408D"/>
    <w:rsid w:val="002F4604"/>
    <w:rsid w:val="002F552D"/>
    <w:rsid w:val="002F5B87"/>
    <w:rsid w:val="00300240"/>
    <w:rsid w:val="00302241"/>
    <w:rsid w:val="0030381A"/>
    <w:rsid w:val="0030599D"/>
    <w:rsid w:val="00305C91"/>
    <w:rsid w:val="0030636F"/>
    <w:rsid w:val="00307FAA"/>
    <w:rsid w:val="00310814"/>
    <w:rsid w:val="00310DD8"/>
    <w:rsid w:val="00311455"/>
    <w:rsid w:val="00311703"/>
    <w:rsid w:val="00312C88"/>
    <w:rsid w:val="00312D14"/>
    <w:rsid w:val="00312F54"/>
    <w:rsid w:val="003133C6"/>
    <w:rsid w:val="003133D8"/>
    <w:rsid w:val="00314135"/>
    <w:rsid w:val="00317075"/>
    <w:rsid w:val="00317715"/>
    <w:rsid w:val="00320994"/>
    <w:rsid w:val="00321CD9"/>
    <w:rsid w:val="0032310A"/>
    <w:rsid w:val="00323E0B"/>
    <w:rsid w:val="003241BA"/>
    <w:rsid w:val="0032550C"/>
    <w:rsid w:val="00325EBA"/>
    <w:rsid w:val="003262AB"/>
    <w:rsid w:val="00327342"/>
    <w:rsid w:val="00327841"/>
    <w:rsid w:val="003304B8"/>
    <w:rsid w:val="00332644"/>
    <w:rsid w:val="00332E0F"/>
    <w:rsid w:val="00333BA6"/>
    <w:rsid w:val="00334783"/>
    <w:rsid w:val="00334AD0"/>
    <w:rsid w:val="003351F0"/>
    <w:rsid w:val="003369A2"/>
    <w:rsid w:val="00337023"/>
    <w:rsid w:val="00337B07"/>
    <w:rsid w:val="00337F60"/>
    <w:rsid w:val="003405FA"/>
    <w:rsid w:val="00341248"/>
    <w:rsid w:val="00341B16"/>
    <w:rsid w:val="003423A7"/>
    <w:rsid w:val="003428F8"/>
    <w:rsid w:val="00344681"/>
    <w:rsid w:val="00345179"/>
    <w:rsid w:val="003504E6"/>
    <w:rsid w:val="003527FA"/>
    <w:rsid w:val="00353F54"/>
    <w:rsid w:val="003543E0"/>
    <w:rsid w:val="0035475C"/>
    <w:rsid w:val="003548E2"/>
    <w:rsid w:val="0035689A"/>
    <w:rsid w:val="003571CD"/>
    <w:rsid w:val="00357D6C"/>
    <w:rsid w:val="00360D7B"/>
    <w:rsid w:val="003621E0"/>
    <w:rsid w:val="00362375"/>
    <w:rsid w:val="0036307D"/>
    <w:rsid w:val="003639E4"/>
    <w:rsid w:val="00364F9C"/>
    <w:rsid w:val="00366280"/>
    <w:rsid w:val="00370127"/>
    <w:rsid w:val="0037283E"/>
    <w:rsid w:val="00373B45"/>
    <w:rsid w:val="00375DA3"/>
    <w:rsid w:val="00375EAE"/>
    <w:rsid w:val="0037604A"/>
    <w:rsid w:val="00377560"/>
    <w:rsid w:val="00377743"/>
    <w:rsid w:val="00380B22"/>
    <w:rsid w:val="00381758"/>
    <w:rsid w:val="0038176D"/>
    <w:rsid w:val="003817DF"/>
    <w:rsid w:val="00382C32"/>
    <w:rsid w:val="00382CB0"/>
    <w:rsid w:val="003831AB"/>
    <w:rsid w:val="003831CA"/>
    <w:rsid w:val="0038682D"/>
    <w:rsid w:val="00387E44"/>
    <w:rsid w:val="003916B7"/>
    <w:rsid w:val="00392D9B"/>
    <w:rsid w:val="00392EF1"/>
    <w:rsid w:val="0039403D"/>
    <w:rsid w:val="003942C9"/>
    <w:rsid w:val="00395F5A"/>
    <w:rsid w:val="00397AD7"/>
    <w:rsid w:val="003A1B3D"/>
    <w:rsid w:val="003A1C49"/>
    <w:rsid w:val="003A45AA"/>
    <w:rsid w:val="003A49FD"/>
    <w:rsid w:val="003A63B7"/>
    <w:rsid w:val="003A7022"/>
    <w:rsid w:val="003A7D24"/>
    <w:rsid w:val="003B048C"/>
    <w:rsid w:val="003B415E"/>
    <w:rsid w:val="003B47E5"/>
    <w:rsid w:val="003B4B23"/>
    <w:rsid w:val="003B4BA3"/>
    <w:rsid w:val="003B58D4"/>
    <w:rsid w:val="003B5F1B"/>
    <w:rsid w:val="003B6476"/>
    <w:rsid w:val="003C091A"/>
    <w:rsid w:val="003C107C"/>
    <w:rsid w:val="003C17EC"/>
    <w:rsid w:val="003C1EEE"/>
    <w:rsid w:val="003C34AF"/>
    <w:rsid w:val="003C3E99"/>
    <w:rsid w:val="003C4138"/>
    <w:rsid w:val="003C537D"/>
    <w:rsid w:val="003C6025"/>
    <w:rsid w:val="003D15E2"/>
    <w:rsid w:val="003D1C85"/>
    <w:rsid w:val="003D242E"/>
    <w:rsid w:val="003D3CBC"/>
    <w:rsid w:val="003D470D"/>
    <w:rsid w:val="003D623F"/>
    <w:rsid w:val="003E010B"/>
    <w:rsid w:val="003E0A15"/>
    <w:rsid w:val="003E0E2A"/>
    <w:rsid w:val="003E0FD6"/>
    <w:rsid w:val="003E129C"/>
    <w:rsid w:val="003E1404"/>
    <w:rsid w:val="003E23AF"/>
    <w:rsid w:val="003E2628"/>
    <w:rsid w:val="003E2803"/>
    <w:rsid w:val="003E386A"/>
    <w:rsid w:val="003E4118"/>
    <w:rsid w:val="003E46E5"/>
    <w:rsid w:val="003E47A7"/>
    <w:rsid w:val="003E546F"/>
    <w:rsid w:val="003E5733"/>
    <w:rsid w:val="003E5BDC"/>
    <w:rsid w:val="003E6C7B"/>
    <w:rsid w:val="003E785E"/>
    <w:rsid w:val="003F2067"/>
    <w:rsid w:val="003F28BB"/>
    <w:rsid w:val="003F3E83"/>
    <w:rsid w:val="003F5796"/>
    <w:rsid w:val="003F5B63"/>
    <w:rsid w:val="003F6EFA"/>
    <w:rsid w:val="003F737C"/>
    <w:rsid w:val="00400683"/>
    <w:rsid w:val="00401DAE"/>
    <w:rsid w:val="00404E63"/>
    <w:rsid w:val="004057F7"/>
    <w:rsid w:val="00405C0D"/>
    <w:rsid w:val="00405D98"/>
    <w:rsid w:val="004068B4"/>
    <w:rsid w:val="004069C6"/>
    <w:rsid w:val="00406BAE"/>
    <w:rsid w:val="00410EF9"/>
    <w:rsid w:val="004118F9"/>
    <w:rsid w:val="004119D7"/>
    <w:rsid w:val="00411CE4"/>
    <w:rsid w:val="00412C19"/>
    <w:rsid w:val="00413C88"/>
    <w:rsid w:val="00415523"/>
    <w:rsid w:val="00415637"/>
    <w:rsid w:val="00415970"/>
    <w:rsid w:val="00415BBA"/>
    <w:rsid w:val="00416148"/>
    <w:rsid w:val="00417AB4"/>
    <w:rsid w:val="004208CC"/>
    <w:rsid w:val="004212BD"/>
    <w:rsid w:val="004228E6"/>
    <w:rsid w:val="00424FDD"/>
    <w:rsid w:val="00426636"/>
    <w:rsid w:val="00427F4E"/>
    <w:rsid w:val="004309D4"/>
    <w:rsid w:val="00431143"/>
    <w:rsid w:val="0043139B"/>
    <w:rsid w:val="00435124"/>
    <w:rsid w:val="00436BD2"/>
    <w:rsid w:val="004376BC"/>
    <w:rsid w:val="00442B6A"/>
    <w:rsid w:val="00442BA9"/>
    <w:rsid w:val="004452AF"/>
    <w:rsid w:val="00445A3B"/>
    <w:rsid w:val="00445AED"/>
    <w:rsid w:val="0044663B"/>
    <w:rsid w:val="00450061"/>
    <w:rsid w:val="00450469"/>
    <w:rsid w:val="00451EE5"/>
    <w:rsid w:val="00451F81"/>
    <w:rsid w:val="00454884"/>
    <w:rsid w:val="004550AD"/>
    <w:rsid w:val="00455735"/>
    <w:rsid w:val="00456E4F"/>
    <w:rsid w:val="00457945"/>
    <w:rsid w:val="00461126"/>
    <w:rsid w:val="00461B3A"/>
    <w:rsid w:val="004629A9"/>
    <w:rsid w:val="00463398"/>
    <w:rsid w:val="00463791"/>
    <w:rsid w:val="004647D9"/>
    <w:rsid w:val="004647FA"/>
    <w:rsid w:val="00465D5C"/>
    <w:rsid w:val="00467DC7"/>
    <w:rsid w:val="004702C6"/>
    <w:rsid w:val="00471EE6"/>
    <w:rsid w:val="00472D7F"/>
    <w:rsid w:val="00473340"/>
    <w:rsid w:val="004832B2"/>
    <w:rsid w:val="00483347"/>
    <w:rsid w:val="00484508"/>
    <w:rsid w:val="0048472C"/>
    <w:rsid w:val="004850F2"/>
    <w:rsid w:val="00485A5B"/>
    <w:rsid w:val="0048688F"/>
    <w:rsid w:val="00487059"/>
    <w:rsid w:val="0049002F"/>
    <w:rsid w:val="0049074A"/>
    <w:rsid w:val="00490AB2"/>
    <w:rsid w:val="0049130D"/>
    <w:rsid w:val="0049265C"/>
    <w:rsid w:val="0049293E"/>
    <w:rsid w:val="00492B29"/>
    <w:rsid w:val="00492C75"/>
    <w:rsid w:val="00492CA5"/>
    <w:rsid w:val="0049389E"/>
    <w:rsid w:val="00493C62"/>
    <w:rsid w:val="004944C8"/>
    <w:rsid w:val="00494764"/>
    <w:rsid w:val="00494CC9"/>
    <w:rsid w:val="004953C2"/>
    <w:rsid w:val="00496476"/>
    <w:rsid w:val="00496D7E"/>
    <w:rsid w:val="00497716"/>
    <w:rsid w:val="004A0199"/>
    <w:rsid w:val="004A021B"/>
    <w:rsid w:val="004A3084"/>
    <w:rsid w:val="004A3272"/>
    <w:rsid w:val="004A397B"/>
    <w:rsid w:val="004A407B"/>
    <w:rsid w:val="004A6103"/>
    <w:rsid w:val="004A6C57"/>
    <w:rsid w:val="004B02FB"/>
    <w:rsid w:val="004B2531"/>
    <w:rsid w:val="004B35E0"/>
    <w:rsid w:val="004B3A11"/>
    <w:rsid w:val="004B3D22"/>
    <w:rsid w:val="004B3D70"/>
    <w:rsid w:val="004B3FC2"/>
    <w:rsid w:val="004B445D"/>
    <w:rsid w:val="004B57EB"/>
    <w:rsid w:val="004B79DB"/>
    <w:rsid w:val="004B7A37"/>
    <w:rsid w:val="004C0BFD"/>
    <w:rsid w:val="004C10C3"/>
    <w:rsid w:val="004C13B9"/>
    <w:rsid w:val="004C340D"/>
    <w:rsid w:val="004C37D2"/>
    <w:rsid w:val="004C3A0C"/>
    <w:rsid w:val="004C3BC9"/>
    <w:rsid w:val="004C3EFA"/>
    <w:rsid w:val="004C5352"/>
    <w:rsid w:val="004C7BC9"/>
    <w:rsid w:val="004C7E00"/>
    <w:rsid w:val="004D0877"/>
    <w:rsid w:val="004D29FE"/>
    <w:rsid w:val="004D2C72"/>
    <w:rsid w:val="004D2D0A"/>
    <w:rsid w:val="004D31BF"/>
    <w:rsid w:val="004D356C"/>
    <w:rsid w:val="004D4DD2"/>
    <w:rsid w:val="004D6C4A"/>
    <w:rsid w:val="004D7272"/>
    <w:rsid w:val="004E131F"/>
    <w:rsid w:val="004E1623"/>
    <w:rsid w:val="004E29B7"/>
    <w:rsid w:val="004E401F"/>
    <w:rsid w:val="004E48B4"/>
    <w:rsid w:val="004E4B3B"/>
    <w:rsid w:val="004E5E3A"/>
    <w:rsid w:val="004E63D3"/>
    <w:rsid w:val="004E678F"/>
    <w:rsid w:val="004E71B7"/>
    <w:rsid w:val="004F00F7"/>
    <w:rsid w:val="004F220E"/>
    <w:rsid w:val="004F3A87"/>
    <w:rsid w:val="004F3F5F"/>
    <w:rsid w:val="004F7AA6"/>
    <w:rsid w:val="00500CE4"/>
    <w:rsid w:val="00504AA7"/>
    <w:rsid w:val="00504ECE"/>
    <w:rsid w:val="00505D32"/>
    <w:rsid w:val="00506B0D"/>
    <w:rsid w:val="005079ED"/>
    <w:rsid w:val="0051004F"/>
    <w:rsid w:val="00510336"/>
    <w:rsid w:val="005147A5"/>
    <w:rsid w:val="00516FD3"/>
    <w:rsid w:val="005171E9"/>
    <w:rsid w:val="0052313E"/>
    <w:rsid w:val="00524855"/>
    <w:rsid w:val="0052769D"/>
    <w:rsid w:val="00530A79"/>
    <w:rsid w:val="00530CB2"/>
    <w:rsid w:val="00531140"/>
    <w:rsid w:val="00531BA6"/>
    <w:rsid w:val="0053232B"/>
    <w:rsid w:val="00532B2F"/>
    <w:rsid w:val="005351DE"/>
    <w:rsid w:val="00535637"/>
    <w:rsid w:val="005360F0"/>
    <w:rsid w:val="00540DE1"/>
    <w:rsid w:val="00541485"/>
    <w:rsid w:val="00541801"/>
    <w:rsid w:val="00544627"/>
    <w:rsid w:val="005474BA"/>
    <w:rsid w:val="00547FD7"/>
    <w:rsid w:val="005518FF"/>
    <w:rsid w:val="0055215E"/>
    <w:rsid w:val="0055388A"/>
    <w:rsid w:val="00553B13"/>
    <w:rsid w:val="005542CF"/>
    <w:rsid w:val="00554E27"/>
    <w:rsid w:val="00554FAB"/>
    <w:rsid w:val="005572E9"/>
    <w:rsid w:val="005579B8"/>
    <w:rsid w:val="00561A00"/>
    <w:rsid w:val="00563F72"/>
    <w:rsid w:val="005647F6"/>
    <w:rsid w:val="005654B2"/>
    <w:rsid w:val="00571AF6"/>
    <w:rsid w:val="00575B4E"/>
    <w:rsid w:val="0057748C"/>
    <w:rsid w:val="0057797D"/>
    <w:rsid w:val="00577D57"/>
    <w:rsid w:val="005801AD"/>
    <w:rsid w:val="0058068C"/>
    <w:rsid w:val="00583839"/>
    <w:rsid w:val="00585185"/>
    <w:rsid w:val="00585197"/>
    <w:rsid w:val="005855A6"/>
    <w:rsid w:val="00585BD5"/>
    <w:rsid w:val="00585BEC"/>
    <w:rsid w:val="00586EAC"/>
    <w:rsid w:val="0058775A"/>
    <w:rsid w:val="00590978"/>
    <w:rsid w:val="00591444"/>
    <w:rsid w:val="005914AD"/>
    <w:rsid w:val="00591C4B"/>
    <w:rsid w:val="0059366D"/>
    <w:rsid w:val="00595077"/>
    <w:rsid w:val="00595549"/>
    <w:rsid w:val="00595AA9"/>
    <w:rsid w:val="00596A0D"/>
    <w:rsid w:val="00597969"/>
    <w:rsid w:val="005A05EA"/>
    <w:rsid w:val="005A0F15"/>
    <w:rsid w:val="005A19A1"/>
    <w:rsid w:val="005A31C9"/>
    <w:rsid w:val="005A35D0"/>
    <w:rsid w:val="005A3913"/>
    <w:rsid w:val="005A3A9E"/>
    <w:rsid w:val="005A51F0"/>
    <w:rsid w:val="005A5A3B"/>
    <w:rsid w:val="005A5E8F"/>
    <w:rsid w:val="005B2309"/>
    <w:rsid w:val="005B230A"/>
    <w:rsid w:val="005B2502"/>
    <w:rsid w:val="005B342F"/>
    <w:rsid w:val="005B34E4"/>
    <w:rsid w:val="005B3B3A"/>
    <w:rsid w:val="005B50CA"/>
    <w:rsid w:val="005B5983"/>
    <w:rsid w:val="005B7526"/>
    <w:rsid w:val="005B7805"/>
    <w:rsid w:val="005C16A3"/>
    <w:rsid w:val="005C21D5"/>
    <w:rsid w:val="005C3870"/>
    <w:rsid w:val="005C46CF"/>
    <w:rsid w:val="005C4701"/>
    <w:rsid w:val="005C4A20"/>
    <w:rsid w:val="005C4E8D"/>
    <w:rsid w:val="005C6066"/>
    <w:rsid w:val="005C6134"/>
    <w:rsid w:val="005C686E"/>
    <w:rsid w:val="005C7A51"/>
    <w:rsid w:val="005D100F"/>
    <w:rsid w:val="005D3C14"/>
    <w:rsid w:val="005D4814"/>
    <w:rsid w:val="005D65CC"/>
    <w:rsid w:val="005D6DB0"/>
    <w:rsid w:val="005D70DB"/>
    <w:rsid w:val="005D77AA"/>
    <w:rsid w:val="005E27B4"/>
    <w:rsid w:val="005E2D62"/>
    <w:rsid w:val="005E3383"/>
    <w:rsid w:val="005E443D"/>
    <w:rsid w:val="005E6AE9"/>
    <w:rsid w:val="005E7DB3"/>
    <w:rsid w:val="005F08BB"/>
    <w:rsid w:val="005F0F12"/>
    <w:rsid w:val="005F101A"/>
    <w:rsid w:val="005F1463"/>
    <w:rsid w:val="005F20FF"/>
    <w:rsid w:val="005F2141"/>
    <w:rsid w:val="005F2163"/>
    <w:rsid w:val="005F2DE8"/>
    <w:rsid w:val="005F4F12"/>
    <w:rsid w:val="005F5249"/>
    <w:rsid w:val="005F5915"/>
    <w:rsid w:val="005F709B"/>
    <w:rsid w:val="00600373"/>
    <w:rsid w:val="0060087D"/>
    <w:rsid w:val="00603210"/>
    <w:rsid w:val="00604CF0"/>
    <w:rsid w:val="00605426"/>
    <w:rsid w:val="00605A67"/>
    <w:rsid w:val="0060695F"/>
    <w:rsid w:val="00606C20"/>
    <w:rsid w:val="00607B69"/>
    <w:rsid w:val="00607BF1"/>
    <w:rsid w:val="00610A74"/>
    <w:rsid w:val="00611102"/>
    <w:rsid w:val="006122E0"/>
    <w:rsid w:val="00613008"/>
    <w:rsid w:val="006131FF"/>
    <w:rsid w:val="006140F3"/>
    <w:rsid w:val="00614368"/>
    <w:rsid w:val="0061459E"/>
    <w:rsid w:val="00614E5B"/>
    <w:rsid w:val="0061757C"/>
    <w:rsid w:val="006201A1"/>
    <w:rsid w:val="0062176B"/>
    <w:rsid w:val="00622EFE"/>
    <w:rsid w:val="006239E6"/>
    <w:rsid w:val="00623CE0"/>
    <w:rsid w:val="006259B4"/>
    <w:rsid w:val="006271C0"/>
    <w:rsid w:val="00632C78"/>
    <w:rsid w:val="00633495"/>
    <w:rsid w:val="00633B09"/>
    <w:rsid w:val="00633F63"/>
    <w:rsid w:val="006340F1"/>
    <w:rsid w:val="006344B3"/>
    <w:rsid w:val="00635CE5"/>
    <w:rsid w:val="0063673E"/>
    <w:rsid w:val="00636AC4"/>
    <w:rsid w:val="00640D55"/>
    <w:rsid w:val="00641380"/>
    <w:rsid w:val="0064365A"/>
    <w:rsid w:val="00644495"/>
    <w:rsid w:val="0064458C"/>
    <w:rsid w:val="00644743"/>
    <w:rsid w:val="0064512C"/>
    <w:rsid w:val="00645A5C"/>
    <w:rsid w:val="006461AA"/>
    <w:rsid w:val="00646666"/>
    <w:rsid w:val="00647544"/>
    <w:rsid w:val="006478DE"/>
    <w:rsid w:val="0065016D"/>
    <w:rsid w:val="00651783"/>
    <w:rsid w:val="006547CA"/>
    <w:rsid w:val="00655033"/>
    <w:rsid w:val="00655781"/>
    <w:rsid w:val="00656C36"/>
    <w:rsid w:val="00657D87"/>
    <w:rsid w:val="006601C2"/>
    <w:rsid w:val="00660741"/>
    <w:rsid w:val="00661788"/>
    <w:rsid w:val="006644F0"/>
    <w:rsid w:val="006660D7"/>
    <w:rsid w:val="00671123"/>
    <w:rsid w:val="00673AA1"/>
    <w:rsid w:val="00673E04"/>
    <w:rsid w:val="00674443"/>
    <w:rsid w:val="00674ECC"/>
    <w:rsid w:val="0067674C"/>
    <w:rsid w:val="00680F03"/>
    <w:rsid w:val="00684605"/>
    <w:rsid w:val="006860EE"/>
    <w:rsid w:val="006869BC"/>
    <w:rsid w:val="00686D87"/>
    <w:rsid w:val="0068767A"/>
    <w:rsid w:val="006878B5"/>
    <w:rsid w:val="00687D6E"/>
    <w:rsid w:val="00690BAC"/>
    <w:rsid w:val="00691B52"/>
    <w:rsid w:val="00692863"/>
    <w:rsid w:val="00694341"/>
    <w:rsid w:val="00695100"/>
    <w:rsid w:val="006968C1"/>
    <w:rsid w:val="0069731A"/>
    <w:rsid w:val="006A0FEA"/>
    <w:rsid w:val="006A188C"/>
    <w:rsid w:val="006A3CD0"/>
    <w:rsid w:val="006A4776"/>
    <w:rsid w:val="006A4F29"/>
    <w:rsid w:val="006A59DD"/>
    <w:rsid w:val="006A773F"/>
    <w:rsid w:val="006B00C7"/>
    <w:rsid w:val="006B1C31"/>
    <w:rsid w:val="006B28F1"/>
    <w:rsid w:val="006B2D97"/>
    <w:rsid w:val="006B31C7"/>
    <w:rsid w:val="006B38C6"/>
    <w:rsid w:val="006B50A8"/>
    <w:rsid w:val="006B7608"/>
    <w:rsid w:val="006B7BF9"/>
    <w:rsid w:val="006C432A"/>
    <w:rsid w:val="006C51A5"/>
    <w:rsid w:val="006C60C2"/>
    <w:rsid w:val="006D1DB1"/>
    <w:rsid w:val="006D25B6"/>
    <w:rsid w:val="006D2CBB"/>
    <w:rsid w:val="006D4346"/>
    <w:rsid w:val="006D6550"/>
    <w:rsid w:val="006D773C"/>
    <w:rsid w:val="006D788F"/>
    <w:rsid w:val="006E1C54"/>
    <w:rsid w:val="006E287C"/>
    <w:rsid w:val="006E2C55"/>
    <w:rsid w:val="006E73E4"/>
    <w:rsid w:val="006F097F"/>
    <w:rsid w:val="006F09EA"/>
    <w:rsid w:val="006F0E75"/>
    <w:rsid w:val="006F3057"/>
    <w:rsid w:val="006F4B48"/>
    <w:rsid w:val="006F527B"/>
    <w:rsid w:val="00701C8A"/>
    <w:rsid w:val="007030B3"/>
    <w:rsid w:val="0070391C"/>
    <w:rsid w:val="00704003"/>
    <w:rsid w:val="00705E57"/>
    <w:rsid w:val="00706DC3"/>
    <w:rsid w:val="007071BB"/>
    <w:rsid w:val="0071221F"/>
    <w:rsid w:val="007154F1"/>
    <w:rsid w:val="00720334"/>
    <w:rsid w:val="00720358"/>
    <w:rsid w:val="00721E18"/>
    <w:rsid w:val="00723F05"/>
    <w:rsid w:val="00724440"/>
    <w:rsid w:val="00724C5B"/>
    <w:rsid w:val="007259FB"/>
    <w:rsid w:val="00726628"/>
    <w:rsid w:val="00727732"/>
    <w:rsid w:val="00730818"/>
    <w:rsid w:val="0073168F"/>
    <w:rsid w:val="007316CA"/>
    <w:rsid w:val="00732D94"/>
    <w:rsid w:val="00733AD8"/>
    <w:rsid w:val="00733D13"/>
    <w:rsid w:val="0073506F"/>
    <w:rsid w:val="00736350"/>
    <w:rsid w:val="007367BA"/>
    <w:rsid w:val="00736AD5"/>
    <w:rsid w:val="00740193"/>
    <w:rsid w:val="00741008"/>
    <w:rsid w:val="00741382"/>
    <w:rsid w:val="0074212F"/>
    <w:rsid w:val="00742970"/>
    <w:rsid w:val="00743A40"/>
    <w:rsid w:val="00743B48"/>
    <w:rsid w:val="00743DD7"/>
    <w:rsid w:val="007441B5"/>
    <w:rsid w:val="00745E64"/>
    <w:rsid w:val="0074676C"/>
    <w:rsid w:val="007470E7"/>
    <w:rsid w:val="00747EB8"/>
    <w:rsid w:val="007507CA"/>
    <w:rsid w:val="00750DBA"/>
    <w:rsid w:val="0075144B"/>
    <w:rsid w:val="007521A2"/>
    <w:rsid w:val="007522B9"/>
    <w:rsid w:val="00753594"/>
    <w:rsid w:val="00753F21"/>
    <w:rsid w:val="00754865"/>
    <w:rsid w:val="00754C91"/>
    <w:rsid w:val="00755BE6"/>
    <w:rsid w:val="00757BD6"/>
    <w:rsid w:val="00760478"/>
    <w:rsid w:val="00760EB4"/>
    <w:rsid w:val="00761440"/>
    <w:rsid w:val="007627E3"/>
    <w:rsid w:val="007651AD"/>
    <w:rsid w:val="007776AE"/>
    <w:rsid w:val="00777984"/>
    <w:rsid w:val="00780B38"/>
    <w:rsid w:val="00781A2F"/>
    <w:rsid w:val="0078276F"/>
    <w:rsid w:val="00783089"/>
    <w:rsid w:val="007849F7"/>
    <w:rsid w:val="0078694D"/>
    <w:rsid w:val="00787591"/>
    <w:rsid w:val="00790FEE"/>
    <w:rsid w:val="00791C60"/>
    <w:rsid w:val="00792262"/>
    <w:rsid w:val="007928E4"/>
    <w:rsid w:val="00793919"/>
    <w:rsid w:val="00793D9D"/>
    <w:rsid w:val="00793FBB"/>
    <w:rsid w:val="00794AFC"/>
    <w:rsid w:val="00794D8A"/>
    <w:rsid w:val="007A008D"/>
    <w:rsid w:val="007A05A1"/>
    <w:rsid w:val="007A08CE"/>
    <w:rsid w:val="007A2F60"/>
    <w:rsid w:val="007A30D0"/>
    <w:rsid w:val="007A356A"/>
    <w:rsid w:val="007A408A"/>
    <w:rsid w:val="007A4228"/>
    <w:rsid w:val="007A491B"/>
    <w:rsid w:val="007A5D68"/>
    <w:rsid w:val="007A60EA"/>
    <w:rsid w:val="007B0A72"/>
    <w:rsid w:val="007B1096"/>
    <w:rsid w:val="007B196D"/>
    <w:rsid w:val="007B2223"/>
    <w:rsid w:val="007B2D0C"/>
    <w:rsid w:val="007B3A7B"/>
    <w:rsid w:val="007B3D6C"/>
    <w:rsid w:val="007B3ED5"/>
    <w:rsid w:val="007B5DD4"/>
    <w:rsid w:val="007B63C8"/>
    <w:rsid w:val="007B71F2"/>
    <w:rsid w:val="007B77B1"/>
    <w:rsid w:val="007C02AE"/>
    <w:rsid w:val="007C071F"/>
    <w:rsid w:val="007C17CD"/>
    <w:rsid w:val="007C1B34"/>
    <w:rsid w:val="007C2DF8"/>
    <w:rsid w:val="007C34F0"/>
    <w:rsid w:val="007C5CB8"/>
    <w:rsid w:val="007C66E7"/>
    <w:rsid w:val="007C6BEA"/>
    <w:rsid w:val="007C77FC"/>
    <w:rsid w:val="007D1C11"/>
    <w:rsid w:val="007D358D"/>
    <w:rsid w:val="007D51C7"/>
    <w:rsid w:val="007D589C"/>
    <w:rsid w:val="007D6A19"/>
    <w:rsid w:val="007D6A38"/>
    <w:rsid w:val="007D7B4C"/>
    <w:rsid w:val="007E0448"/>
    <w:rsid w:val="007E0E94"/>
    <w:rsid w:val="007E106D"/>
    <w:rsid w:val="007E121F"/>
    <w:rsid w:val="007E1F8D"/>
    <w:rsid w:val="007E3534"/>
    <w:rsid w:val="007E3AF5"/>
    <w:rsid w:val="007E502B"/>
    <w:rsid w:val="007E5B87"/>
    <w:rsid w:val="007E70C4"/>
    <w:rsid w:val="007E78F6"/>
    <w:rsid w:val="007F003F"/>
    <w:rsid w:val="007F0877"/>
    <w:rsid w:val="007F1709"/>
    <w:rsid w:val="007F1836"/>
    <w:rsid w:val="007F1BC8"/>
    <w:rsid w:val="007F26AC"/>
    <w:rsid w:val="007F40A1"/>
    <w:rsid w:val="007F44DF"/>
    <w:rsid w:val="007F4AE4"/>
    <w:rsid w:val="007F533F"/>
    <w:rsid w:val="007F7799"/>
    <w:rsid w:val="008000D3"/>
    <w:rsid w:val="008010A9"/>
    <w:rsid w:val="008014C3"/>
    <w:rsid w:val="00801EEF"/>
    <w:rsid w:val="008030E7"/>
    <w:rsid w:val="00804C04"/>
    <w:rsid w:val="008064B5"/>
    <w:rsid w:val="00807E07"/>
    <w:rsid w:val="00810734"/>
    <w:rsid w:val="00810C18"/>
    <w:rsid w:val="008113BA"/>
    <w:rsid w:val="008129AE"/>
    <w:rsid w:val="00813003"/>
    <w:rsid w:val="00813CE9"/>
    <w:rsid w:val="00813F4B"/>
    <w:rsid w:val="00814FEC"/>
    <w:rsid w:val="008174BE"/>
    <w:rsid w:val="008227B4"/>
    <w:rsid w:val="00822C71"/>
    <w:rsid w:val="00823E72"/>
    <w:rsid w:val="008246CD"/>
    <w:rsid w:val="008250B5"/>
    <w:rsid w:val="008256C1"/>
    <w:rsid w:val="00825F31"/>
    <w:rsid w:val="00835C35"/>
    <w:rsid w:val="00836281"/>
    <w:rsid w:val="00836487"/>
    <w:rsid w:val="008368E9"/>
    <w:rsid w:val="00836C5E"/>
    <w:rsid w:val="008411F2"/>
    <w:rsid w:val="00841219"/>
    <w:rsid w:val="008419B8"/>
    <w:rsid w:val="00841E87"/>
    <w:rsid w:val="00843932"/>
    <w:rsid w:val="00844875"/>
    <w:rsid w:val="00847B01"/>
    <w:rsid w:val="00851BD8"/>
    <w:rsid w:val="0085285C"/>
    <w:rsid w:val="00852FAF"/>
    <w:rsid w:val="00853825"/>
    <w:rsid w:val="00853F10"/>
    <w:rsid w:val="0085443F"/>
    <w:rsid w:val="00854A77"/>
    <w:rsid w:val="00856BAD"/>
    <w:rsid w:val="00857D4D"/>
    <w:rsid w:val="008625AD"/>
    <w:rsid w:val="0086322C"/>
    <w:rsid w:val="0086413C"/>
    <w:rsid w:val="00866875"/>
    <w:rsid w:val="00867806"/>
    <w:rsid w:val="008702C2"/>
    <w:rsid w:val="0087072E"/>
    <w:rsid w:val="00870D53"/>
    <w:rsid w:val="00871F6C"/>
    <w:rsid w:val="00875523"/>
    <w:rsid w:val="00875C4F"/>
    <w:rsid w:val="00882890"/>
    <w:rsid w:val="0088428E"/>
    <w:rsid w:val="00886FEB"/>
    <w:rsid w:val="008902A8"/>
    <w:rsid w:val="008905CC"/>
    <w:rsid w:val="00890D50"/>
    <w:rsid w:val="008930E5"/>
    <w:rsid w:val="00894916"/>
    <w:rsid w:val="00895C49"/>
    <w:rsid w:val="00895F8C"/>
    <w:rsid w:val="008A0FDF"/>
    <w:rsid w:val="008A1561"/>
    <w:rsid w:val="008A177D"/>
    <w:rsid w:val="008A2C8C"/>
    <w:rsid w:val="008A2CCE"/>
    <w:rsid w:val="008A2E28"/>
    <w:rsid w:val="008A405F"/>
    <w:rsid w:val="008A504B"/>
    <w:rsid w:val="008A564E"/>
    <w:rsid w:val="008A626E"/>
    <w:rsid w:val="008A6597"/>
    <w:rsid w:val="008A68C4"/>
    <w:rsid w:val="008A69AC"/>
    <w:rsid w:val="008A7955"/>
    <w:rsid w:val="008B25D8"/>
    <w:rsid w:val="008B30B8"/>
    <w:rsid w:val="008B34E4"/>
    <w:rsid w:val="008B380D"/>
    <w:rsid w:val="008B5B3F"/>
    <w:rsid w:val="008C0CAD"/>
    <w:rsid w:val="008C0EAA"/>
    <w:rsid w:val="008C1BBD"/>
    <w:rsid w:val="008C251E"/>
    <w:rsid w:val="008C262D"/>
    <w:rsid w:val="008C2A47"/>
    <w:rsid w:val="008C2BC1"/>
    <w:rsid w:val="008C33D9"/>
    <w:rsid w:val="008C3FAF"/>
    <w:rsid w:val="008C5F9A"/>
    <w:rsid w:val="008C6BC4"/>
    <w:rsid w:val="008D131A"/>
    <w:rsid w:val="008D2AD1"/>
    <w:rsid w:val="008D4943"/>
    <w:rsid w:val="008D4D1D"/>
    <w:rsid w:val="008D584A"/>
    <w:rsid w:val="008D5D79"/>
    <w:rsid w:val="008D5D93"/>
    <w:rsid w:val="008D68AC"/>
    <w:rsid w:val="008E0AE8"/>
    <w:rsid w:val="008E23F4"/>
    <w:rsid w:val="008E2DC6"/>
    <w:rsid w:val="008E3183"/>
    <w:rsid w:val="008E4BD3"/>
    <w:rsid w:val="008E5953"/>
    <w:rsid w:val="008E5B37"/>
    <w:rsid w:val="008E771F"/>
    <w:rsid w:val="008F5858"/>
    <w:rsid w:val="008F6B1C"/>
    <w:rsid w:val="00900762"/>
    <w:rsid w:val="009017D2"/>
    <w:rsid w:val="00902E6B"/>
    <w:rsid w:val="0090310B"/>
    <w:rsid w:val="00904360"/>
    <w:rsid w:val="009049D8"/>
    <w:rsid w:val="0090661B"/>
    <w:rsid w:val="00907813"/>
    <w:rsid w:val="00907F7A"/>
    <w:rsid w:val="00910120"/>
    <w:rsid w:val="00911540"/>
    <w:rsid w:val="00911789"/>
    <w:rsid w:val="00912BF3"/>
    <w:rsid w:val="00913037"/>
    <w:rsid w:val="0091354E"/>
    <w:rsid w:val="00913E25"/>
    <w:rsid w:val="00916597"/>
    <w:rsid w:val="009167C8"/>
    <w:rsid w:val="0092032B"/>
    <w:rsid w:val="00921503"/>
    <w:rsid w:val="0092182A"/>
    <w:rsid w:val="009233BD"/>
    <w:rsid w:val="00923E23"/>
    <w:rsid w:val="00924117"/>
    <w:rsid w:val="0092530E"/>
    <w:rsid w:val="00925A78"/>
    <w:rsid w:val="00926915"/>
    <w:rsid w:val="00930ABD"/>
    <w:rsid w:val="009315EF"/>
    <w:rsid w:val="00931BA1"/>
    <w:rsid w:val="009320B3"/>
    <w:rsid w:val="00933668"/>
    <w:rsid w:val="00936881"/>
    <w:rsid w:val="00936DDA"/>
    <w:rsid w:val="00940825"/>
    <w:rsid w:val="00942555"/>
    <w:rsid w:val="009429AF"/>
    <w:rsid w:val="00943FA2"/>
    <w:rsid w:val="00951024"/>
    <w:rsid w:val="00951309"/>
    <w:rsid w:val="00951740"/>
    <w:rsid w:val="00951787"/>
    <w:rsid w:val="00952EEC"/>
    <w:rsid w:val="00954400"/>
    <w:rsid w:val="00954896"/>
    <w:rsid w:val="00956A09"/>
    <w:rsid w:val="00957D7C"/>
    <w:rsid w:val="00960638"/>
    <w:rsid w:val="00961CEE"/>
    <w:rsid w:val="009620F3"/>
    <w:rsid w:val="00962337"/>
    <w:rsid w:val="009632AF"/>
    <w:rsid w:val="00963B25"/>
    <w:rsid w:val="00964383"/>
    <w:rsid w:val="00964980"/>
    <w:rsid w:val="00964BB8"/>
    <w:rsid w:val="009665AD"/>
    <w:rsid w:val="00966CCF"/>
    <w:rsid w:val="009672D3"/>
    <w:rsid w:val="00970CF1"/>
    <w:rsid w:val="00973217"/>
    <w:rsid w:val="00973804"/>
    <w:rsid w:val="00973CEF"/>
    <w:rsid w:val="0097433E"/>
    <w:rsid w:val="00974734"/>
    <w:rsid w:val="009758F6"/>
    <w:rsid w:val="00975B74"/>
    <w:rsid w:val="0097726C"/>
    <w:rsid w:val="00977A7A"/>
    <w:rsid w:val="0098051E"/>
    <w:rsid w:val="009828C1"/>
    <w:rsid w:val="00982B39"/>
    <w:rsid w:val="00982F1F"/>
    <w:rsid w:val="0098476D"/>
    <w:rsid w:val="00984E30"/>
    <w:rsid w:val="0098686A"/>
    <w:rsid w:val="009871AF"/>
    <w:rsid w:val="0099078D"/>
    <w:rsid w:val="00990A10"/>
    <w:rsid w:val="0099224A"/>
    <w:rsid w:val="009922FA"/>
    <w:rsid w:val="00992528"/>
    <w:rsid w:val="009926B9"/>
    <w:rsid w:val="00992AD0"/>
    <w:rsid w:val="00995130"/>
    <w:rsid w:val="00995CE3"/>
    <w:rsid w:val="00995F7C"/>
    <w:rsid w:val="009A01B3"/>
    <w:rsid w:val="009A0D5F"/>
    <w:rsid w:val="009A148B"/>
    <w:rsid w:val="009A1D6C"/>
    <w:rsid w:val="009A1DD7"/>
    <w:rsid w:val="009A2284"/>
    <w:rsid w:val="009A389A"/>
    <w:rsid w:val="009A3AFB"/>
    <w:rsid w:val="009A3ECD"/>
    <w:rsid w:val="009A5316"/>
    <w:rsid w:val="009A5C36"/>
    <w:rsid w:val="009A5E26"/>
    <w:rsid w:val="009A6278"/>
    <w:rsid w:val="009B1DA6"/>
    <w:rsid w:val="009B49D1"/>
    <w:rsid w:val="009B67C4"/>
    <w:rsid w:val="009C0CBB"/>
    <w:rsid w:val="009C17D6"/>
    <w:rsid w:val="009C1DF8"/>
    <w:rsid w:val="009C2E57"/>
    <w:rsid w:val="009D1BA2"/>
    <w:rsid w:val="009D2BBE"/>
    <w:rsid w:val="009D39B0"/>
    <w:rsid w:val="009D47E3"/>
    <w:rsid w:val="009D529A"/>
    <w:rsid w:val="009D5D90"/>
    <w:rsid w:val="009E3B42"/>
    <w:rsid w:val="009E3DD6"/>
    <w:rsid w:val="009E3E82"/>
    <w:rsid w:val="009E4000"/>
    <w:rsid w:val="009E47E1"/>
    <w:rsid w:val="009E4B39"/>
    <w:rsid w:val="009E569F"/>
    <w:rsid w:val="009E5809"/>
    <w:rsid w:val="009E5CAE"/>
    <w:rsid w:val="009E717E"/>
    <w:rsid w:val="009F02FE"/>
    <w:rsid w:val="009F06FE"/>
    <w:rsid w:val="009F09DA"/>
    <w:rsid w:val="009F0D57"/>
    <w:rsid w:val="009F3AFE"/>
    <w:rsid w:val="009F4153"/>
    <w:rsid w:val="009F4CC5"/>
    <w:rsid w:val="009F4ED3"/>
    <w:rsid w:val="009F5524"/>
    <w:rsid w:val="009F59D3"/>
    <w:rsid w:val="009F5B5B"/>
    <w:rsid w:val="009F6FE4"/>
    <w:rsid w:val="009F7852"/>
    <w:rsid w:val="00A00643"/>
    <w:rsid w:val="00A0095B"/>
    <w:rsid w:val="00A0153B"/>
    <w:rsid w:val="00A0200F"/>
    <w:rsid w:val="00A02C80"/>
    <w:rsid w:val="00A045F4"/>
    <w:rsid w:val="00A11A4E"/>
    <w:rsid w:val="00A11C73"/>
    <w:rsid w:val="00A11F47"/>
    <w:rsid w:val="00A13C6D"/>
    <w:rsid w:val="00A13CF0"/>
    <w:rsid w:val="00A14162"/>
    <w:rsid w:val="00A14550"/>
    <w:rsid w:val="00A15254"/>
    <w:rsid w:val="00A208B8"/>
    <w:rsid w:val="00A21B77"/>
    <w:rsid w:val="00A22282"/>
    <w:rsid w:val="00A24630"/>
    <w:rsid w:val="00A24EF1"/>
    <w:rsid w:val="00A24F4F"/>
    <w:rsid w:val="00A25243"/>
    <w:rsid w:val="00A2531D"/>
    <w:rsid w:val="00A30FED"/>
    <w:rsid w:val="00A318B6"/>
    <w:rsid w:val="00A32584"/>
    <w:rsid w:val="00A360E8"/>
    <w:rsid w:val="00A36115"/>
    <w:rsid w:val="00A41631"/>
    <w:rsid w:val="00A417E3"/>
    <w:rsid w:val="00A44353"/>
    <w:rsid w:val="00A4508B"/>
    <w:rsid w:val="00A455DD"/>
    <w:rsid w:val="00A4600D"/>
    <w:rsid w:val="00A50718"/>
    <w:rsid w:val="00A50A11"/>
    <w:rsid w:val="00A512E6"/>
    <w:rsid w:val="00A52377"/>
    <w:rsid w:val="00A52983"/>
    <w:rsid w:val="00A5368F"/>
    <w:rsid w:val="00A5376C"/>
    <w:rsid w:val="00A5385B"/>
    <w:rsid w:val="00A55C39"/>
    <w:rsid w:val="00A56B58"/>
    <w:rsid w:val="00A57628"/>
    <w:rsid w:val="00A57C3A"/>
    <w:rsid w:val="00A61A28"/>
    <w:rsid w:val="00A6208C"/>
    <w:rsid w:val="00A6227C"/>
    <w:rsid w:val="00A63B33"/>
    <w:rsid w:val="00A6411E"/>
    <w:rsid w:val="00A64C6B"/>
    <w:rsid w:val="00A66315"/>
    <w:rsid w:val="00A70482"/>
    <w:rsid w:val="00A739AF"/>
    <w:rsid w:val="00A74525"/>
    <w:rsid w:val="00A74D60"/>
    <w:rsid w:val="00A750C9"/>
    <w:rsid w:val="00A76464"/>
    <w:rsid w:val="00A80B21"/>
    <w:rsid w:val="00A81306"/>
    <w:rsid w:val="00A828B4"/>
    <w:rsid w:val="00A8519E"/>
    <w:rsid w:val="00A85455"/>
    <w:rsid w:val="00A856A8"/>
    <w:rsid w:val="00A856B4"/>
    <w:rsid w:val="00A858C9"/>
    <w:rsid w:val="00A867D5"/>
    <w:rsid w:val="00A87B38"/>
    <w:rsid w:val="00A87F36"/>
    <w:rsid w:val="00A90D81"/>
    <w:rsid w:val="00A91B13"/>
    <w:rsid w:val="00A9344A"/>
    <w:rsid w:val="00A94F7C"/>
    <w:rsid w:val="00A96246"/>
    <w:rsid w:val="00A964BA"/>
    <w:rsid w:val="00A96B24"/>
    <w:rsid w:val="00A97B6C"/>
    <w:rsid w:val="00AA39BD"/>
    <w:rsid w:val="00AA3FF8"/>
    <w:rsid w:val="00AA7198"/>
    <w:rsid w:val="00AA7447"/>
    <w:rsid w:val="00AA7A37"/>
    <w:rsid w:val="00AB09E7"/>
    <w:rsid w:val="00AB101E"/>
    <w:rsid w:val="00AB109F"/>
    <w:rsid w:val="00AB172B"/>
    <w:rsid w:val="00AB1F09"/>
    <w:rsid w:val="00AB2DE7"/>
    <w:rsid w:val="00AB2F72"/>
    <w:rsid w:val="00AB3CF5"/>
    <w:rsid w:val="00AB4906"/>
    <w:rsid w:val="00AC0354"/>
    <w:rsid w:val="00AC1035"/>
    <w:rsid w:val="00AC1BD9"/>
    <w:rsid w:val="00AC1F5F"/>
    <w:rsid w:val="00AC2F82"/>
    <w:rsid w:val="00AC45F5"/>
    <w:rsid w:val="00AC4962"/>
    <w:rsid w:val="00AC5A80"/>
    <w:rsid w:val="00AC681C"/>
    <w:rsid w:val="00AC7036"/>
    <w:rsid w:val="00AC755F"/>
    <w:rsid w:val="00AD0903"/>
    <w:rsid w:val="00AD1696"/>
    <w:rsid w:val="00AD50F4"/>
    <w:rsid w:val="00AD51BB"/>
    <w:rsid w:val="00AD61D8"/>
    <w:rsid w:val="00AD61E2"/>
    <w:rsid w:val="00AD72B0"/>
    <w:rsid w:val="00AE0CC7"/>
    <w:rsid w:val="00AE1B0B"/>
    <w:rsid w:val="00AE2303"/>
    <w:rsid w:val="00AE29F7"/>
    <w:rsid w:val="00AE322A"/>
    <w:rsid w:val="00AE4945"/>
    <w:rsid w:val="00AE53A0"/>
    <w:rsid w:val="00AE5451"/>
    <w:rsid w:val="00AF0C68"/>
    <w:rsid w:val="00AF0E60"/>
    <w:rsid w:val="00AF2AA0"/>
    <w:rsid w:val="00AF2FDA"/>
    <w:rsid w:val="00AF32D6"/>
    <w:rsid w:val="00AF42A3"/>
    <w:rsid w:val="00AF4AC9"/>
    <w:rsid w:val="00AF4B79"/>
    <w:rsid w:val="00AF4FA6"/>
    <w:rsid w:val="00AF5815"/>
    <w:rsid w:val="00AF5BC3"/>
    <w:rsid w:val="00AF69BE"/>
    <w:rsid w:val="00AF7C2F"/>
    <w:rsid w:val="00AF7F36"/>
    <w:rsid w:val="00B000F6"/>
    <w:rsid w:val="00B01B9F"/>
    <w:rsid w:val="00B02F0F"/>
    <w:rsid w:val="00B0376B"/>
    <w:rsid w:val="00B047CE"/>
    <w:rsid w:val="00B06425"/>
    <w:rsid w:val="00B06457"/>
    <w:rsid w:val="00B064AE"/>
    <w:rsid w:val="00B0672B"/>
    <w:rsid w:val="00B06E7D"/>
    <w:rsid w:val="00B07A24"/>
    <w:rsid w:val="00B07B75"/>
    <w:rsid w:val="00B07DE4"/>
    <w:rsid w:val="00B07E57"/>
    <w:rsid w:val="00B1198C"/>
    <w:rsid w:val="00B12C76"/>
    <w:rsid w:val="00B130AF"/>
    <w:rsid w:val="00B1346B"/>
    <w:rsid w:val="00B139E0"/>
    <w:rsid w:val="00B13D90"/>
    <w:rsid w:val="00B143EE"/>
    <w:rsid w:val="00B15925"/>
    <w:rsid w:val="00B20CDA"/>
    <w:rsid w:val="00B20CFC"/>
    <w:rsid w:val="00B218A1"/>
    <w:rsid w:val="00B243FE"/>
    <w:rsid w:val="00B2444E"/>
    <w:rsid w:val="00B267EC"/>
    <w:rsid w:val="00B26ACB"/>
    <w:rsid w:val="00B26CC4"/>
    <w:rsid w:val="00B31524"/>
    <w:rsid w:val="00B3193E"/>
    <w:rsid w:val="00B31A8C"/>
    <w:rsid w:val="00B31B3C"/>
    <w:rsid w:val="00B31CE0"/>
    <w:rsid w:val="00B32DFF"/>
    <w:rsid w:val="00B338D4"/>
    <w:rsid w:val="00B352A5"/>
    <w:rsid w:val="00B36249"/>
    <w:rsid w:val="00B364FA"/>
    <w:rsid w:val="00B40140"/>
    <w:rsid w:val="00B429B5"/>
    <w:rsid w:val="00B429EA"/>
    <w:rsid w:val="00B441B9"/>
    <w:rsid w:val="00B45CEE"/>
    <w:rsid w:val="00B45F62"/>
    <w:rsid w:val="00B46BC5"/>
    <w:rsid w:val="00B47A38"/>
    <w:rsid w:val="00B47ACE"/>
    <w:rsid w:val="00B47C35"/>
    <w:rsid w:val="00B51955"/>
    <w:rsid w:val="00B51C58"/>
    <w:rsid w:val="00B51D8D"/>
    <w:rsid w:val="00B558E4"/>
    <w:rsid w:val="00B57560"/>
    <w:rsid w:val="00B57653"/>
    <w:rsid w:val="00B57D84"/>
    <w:rsid w:val="00B57EC2"/>
    <w:rsid w:val="00B6092F"/>
    <w:rsid w:val="00B60BD6"/>
    <w:rsid w:val="00B6156F"/>
    <w:rsid w:val="00B6267B"/>
    <w:rsid w:val="00B63FFE"/>
    <w:rsid w:val="00B641C9"/>
    <w:rsid w:val="00B64386"/>
    <w:rsid w:val="00B644BE"/>
    <w:rsid w:val="00B64650"/>
    <w:rsid w:val="00B655CC"/>
    <w:rsid w:val="00B6607E"/>
    <w:rsid w:val="00B668A1"/>
    <w:rsid w:val="00B71439"/>
    <w:rsid w:val="00B73677"/>
    <w:rsid w:val="00B750FD"/>
    <w:rsid w:val="00B75C93"/>
    <w:rsid w:val="00B7656C"/>
    <w:rsid w:val="00B779B3"/>
    <w:rsid w:val="00B80602"/>
    <w:rsid w:val="00B8282A"/>
    <w:rsid w:val="00B830C6"/>
    <w:rsid w:val="00B842A0"/>
    <w:rsid w:val="00B86023"/>
    <w:rsid w:val="00B86A47"/>
    <w:rsid w:val="00B8723B"/>
    <w:rsid w:val="00B87E8D"/>
    <w:rsid w:val="00B923BC"/>
    <w:rsid w:val="00B928EE"/>
    <w:rsid w:val="00B92977"/>
    <w:rsid w:val="00B9617B"/>
    <w:rsid w:val="00B96B1A"/>
    <w:rsid w:val="00B972D9"/>
    <w:rsid w:val="00BA0246"/>
    <w:rsid w:val="00BA2B5C"/>
    <w:rsid w:val="00BA510F"/>
    <w:rsid w:val="00BA6C33"/>
    <w:rsid w:val="00BA6C75"/>
    <w:rsid w:val="00BB0CCB"/>
    <w:rsid w:val="00BB12C5"/>
    <w:rsid w:val="00BB2B08"/>
    <w:rsid w:val="00BB2D1F"/>
    <w:rsid w:val="00BB3BD2"/>
    <w:rsid w:val="00BB4544"/>
    <w:rsid w:val="00BB5904"/>
    <w:rsid w:val="00BB618B"/>
    <w:rsid w:val="00BB6CB8"/>
    <w:rsid w:val="00BB76DD"/>
    <w:rsid w:val="00BC0FAA"/>
    <w:rsid w:val="00BC4A69"/>
    <w:rsid w:val="00BC4E19"/>
    <w:rsid w:val="00BC5288"/>
    <w:rsid w:val="00BC5CE3"/>
    <w:rsid w:val="00BC609E"/>
    <w:rsid w:val="00BC6F41"/>
    <w:rsid w:val="00BC704E"/>
    <w:rsid w:val="00BC70DF"/>
    <w:rsid w:val="00BC7177"/>
    <w:rsid w:val="00BD0869"/>
    <w:rsid w:val="00BD22B9"/>
    <w:rsid w:val="00BD2FB8"/>
    <w:rsid w:val="00BD341F"/>
    <w:rsid w:val="00BD3EF1"/>
    <w:rsid w:val="00BD47DF"/>
    <w:rsid w:val="00BD51DA"/>
    <w:rsid w:val="00BD5674"/>
    <w:rsid w:val="00BE0D77"/>
    <w:rsid w:val="00BE0F5E"/>
    <w:rsid w:val="00BE21BC"/>
    <w:rsid w:val="00BE255C"/>
    <w:rsid w:val="00BE26CF"/>
    <w:rsid w:val="00BE640F"/>
    <w:rsid w:val="00BE7079"/>
    <w:rsid w:val="00BF0CB1"/>
    <w:rsid w:val="00BF2F67"/>
    <w:rsid w:val="00BF2F9B"/>
    <w:rsid w:val="00BF5DB5"/>
    <w:rsid w:val="00BF6BF7"/>
    <w:rsid w:val="00BF74E2"/>
    <w:rsid w:val="00BF7E39"/>
    <w:rsid w:val="00C0167A"/>
    <w:rsid w:val="00C017DC"/>
    <w:rsid w:val="00C03BC6"/>
    <w:rsid w:val="00C03BEC"/>
    <w:rsid w:val="00C03F47"/>
    <w:rsid w:val="00C049ED"/>
    <w:rsid w:val="00C05888"/>
    <w:rsid w:val="00C067EE"/>
    <w:rsid w:val="00C06E0F"/>
    <w:rsid w:val="00C07854"/>
    <w:rsid w:val="00C10AC0"/>
    <w:rsid w:val="00C11E03"/>
    <w:rsid w:val="00C11E2C"/>
    <w:rsid w:val="00C13371"/>
    <w:rsid w:val="00C13FCC"/>
    <w:rsid w:val="00C14234"/>
    <w:rsid w:val="00C14E73"/>
    <w:rsid w:val="00C15EB8"/>
    <w:rsid w:val="00C161A6"/>
    <w:rsid w:val="00C16B53"/>
    <w:rsid w:val="00C177E4"/>
    <w:rsid w:val="00C200F7"/>
    <w:rsid w:val="00C21E3E"/>
    <w:rsid w:val="00C229ED"/>
    <w:rsid w:val="00C22A59"/>
    <w:rsid w:val="00C2371F"/>
    <w:rsid w:val="00C239D6"/>
    <w:rsid w:val="00C24AAB"/>
    <w:rsid w:val="00C24BAA"/>
    <w:rsid w:val="00C24FD8"/>
    <w:rsid w:val="00C25B8C"/>
    <w:rsid w:val="00C2656B"/>
    <w:rsid w:val="00C31BAF"/>
    <w:rsid w:val="00C32500"/>
    <w:rsid w:val="00C328DA"/>
    <w:rsid w:val="00C338C3"/>
    <w:rsid w:val="00C37E74"/>
    <w:rsid w:val="00C40B5B"/>
    <w:rsid w:val="00C4194A"/>
    <w:rsid w:val="00C41D9C"/>
    <w:rsid w:val="00C42446"/>
    <w:rsid w:val="00C43402"/>
    <w:rsid w:val="00C454F0"/>
    <w:rsid w:val="00C471BB"/>
    <w:rsid w:val="00C47566"/>
    <w:rsid w:val="00C475E9"/>
    <w:rsid w:val="00C47988"/>
    <w:rsid w:val="00C47B6A"/>
    <w:rsid w:val="00C507DB"/>
    <w:rsid w:val="00C50A37"/>
    <w:rsid w:val="00C51718"/>
    <w:rsid w:val="00C51DC4"/>
    <w:rsid w:val="00C52912"/>
    <w:rsid w:val="00C53A40"/>
    <w:rsid w:val="00C55E42"/>
    <w:rsid w:val="00C57521"/>
    <w:rsid w:val="00C57ABD"/>
    <w:rsid w:val="00C57B64"/>
    <w:rsid w:val="00C6011F"/>
    <w:rsid w:val="00C6082F"/>
    <w:rsid w:val="00C6590D"/>
    <w:rsid w:val="00C665C9"/>
    <w:rsid w:val="00C67314"/>
    <w:rsid w:val="00C70286"/>
    <w:rsid w:val="00C7337F"/>
    <w:rsid w:val="00C7464B"/>
    <w:rsid w:val="00C74871"/>
    <w:rsid w:val="00C755D1"/>
    <w:rsid w:val="00C755E4"/>
    <w:rsid w:val="00C75A16"/>
    <w:rsid w:val="00C812ED"/>
    <w:rsid w:val="00C8184D"/>
    <w:rsid w:val="00C82A8E"/>
    <w:rsid w:val="00C82E56"/>
    <w:rsid w:val="00C84444"/>
    <w:rsid w:val="00C857F4"/>
    <w:rsid w:val="00C86D21"/>
    <w:rsid w:val="00C86D68"/>
    <w:rsid w:val="00C91EC5"/>
    <w:rsid w:val="00C95006"/>
    <w:rsid w:val="00C95BFC"/>
    <w:rsid w:val="00CA10A3"/>
    <w:rsid w:val="00CA2BC4"/>
    <w:rsid w:val="00CA47EA"/>
    <w:rsid w:val="00CA60E3"/>
    <w:rsid w:val="00CB2E35"/>
    <w:rsid w:val="00CB362D"/>
    <w:rsid w:val="00CB40D1"/>
    <w:rsid w:val="00CB4A8E"/>
    <w:rsid w:val="00CB5CDE"/>
    <w:rsid w:val="00CC02DF"/>
    <w:rsid w:val="00CC0DC3"/>
    <w:rsid w:val="00CC18C1"/>
    <w:rsid w:val="00CC2C1C"/>
    <w:rsid w:val="00CC313D"/>
    <w:rsid w:val="00CC3251"/>
    <w:rsid w:val="00CC335B"/>
    <w:rsid w:val="00CC3E42"/>
    <w:rsid w:val="00CC436E"/>
    <w:rsid w:val="00CC50C8"/>
    <w:rsid w:val="00CC5B2E"/>
    <w:rsid w:val="00CC6200"/>
    <w:rsid w:val="00CC6B6E"/>
    <w:rsid w:val="00CD10C2"/>
    <w:rsid w:val="00CD2287"/>
    <w:rsid w:val="00CD2B45"/>
    <w:rsid w:val="00CD2E55"/>
    <w:rsid w:val="00CD4354"/>
    <w:rsid w:val="00CD4C05"/>
    <w:rsid w:val="00CD6037"/>
    <w:rsid w:val="00CE037E"/>
    <w:rsid w:val="00CE2751"/>
    <w:rsid w:val="00CE3088"/>
    <w:rsid w:val="00CE421A"/>
    <w:rsid w:val="00CF067E"/>
    <w:rsid w:val="00CF0BE0"/>
    <w:rsid w:val="00CF1361"/>
    <w:rsid w:val="00CF1599"/>
    <w:rsid w:val="00CF34AF"/>
    <w:rsid w:val="00CF3601"/>
    <w:rsid w:val="00CF5EA9"/>
    <w:rsid w:val="00CF6FDD"/>
    <w:rsid w:val="00D01001"/>
    <w:rsid w:val="00D04D53"/>
    <w:rsid w:val="00D05321"/>
    <w:rsid w:val="00D05386"/>
    <w:rsid w:val="00D0621D"/>
    <w:rsid w:val="00D06295"/>
    <w:rsid w:val="00D0696A"/>
    <w:rsid w:val="00D07B92"/>
    <w:rsid w:val="00D114E8"/>
    <w:rsid w:val="00D13414"/>
    <w:rsid w:val="00D13672"/>
    <w:rsid w:val="00D15F9F"/>
    <w:rsid w:val="00D161B4"/>
    <w:rsid w:val="00D16C95"/>
    <w:rsid w:val="00D16FE9"/>
    <w:rsid w:val="00D17050"/>
    <w:rsid w:val="00D174B7"/>
    <w:rsid w:val="00D178A0"/>
    <w:rsid w:val="00D179D9"/>
    <w:rsid w:val="00D20917"/>
    <w:rsid w:val="00D21551"/>
    <w:rsid w:val="00D23295"/>
    <w:rsid w:val="00D242DD"/>
    <w:rsid w:val="00D25074"/>
    <w:rsid w:val="00D2645A"/>
    <w:rsid w:val="00D27770"/>
    <w:rsid w:val="00D3122E"/>
    <w:rsid w:val="00D33007"/>
    <w:rsid w:val="00D3301E"/>
    <w:rsid w:val="00D33CFF"/>
    <w:rsid w:val="00D35132"/>
    <w:rsid w:val="00D371E0"/>
    <w:rsid w:val="00D37516"/>
    <w:rsid w:val="00D418BE"/>
    <w:rsid w:val="00D42EB4"/>
    <w:rsid w:val="00D439BF"/>
    <w:rsid w:val="00D4459B"/>
    <w:rsid w:val="00D44715"/>
    <w:rsid w:val="00D44CFE"/>
    <w:rsid w:val="00D4574D"/>
    <w:rsid w:val="00D46631"/>
    <w:rsid w:val="00D47606"/>
    <w:rsid w:val="00D50AE6"/>
    <w:rsid w:val="00D52261"/>
    <w:rsid w:val="00D522F6"/>
    <w:rsid w:val="00D52C7C"/>
    <w:rsid w:val="00D54C60"/>
    <w:rsid w:val="00D554AA"/>
    <w:rsid w:val="00D55D8A"/>
    <w:rsid w:val="00D604BE"/>
    <w:rsid w:val="00D604DD"/>
    <w:rsid w:val="00D61263"/>
    <w:rsid w:val="00D619A6"/>
    <w:rsid w:val="00D61CBB"/>
    <w:rsid w:val="00D61EFB"/>
    <w:rsid w:val="00D62896"/>
    <w:rsid w:val="00D62B4C"/>
    <w:rsid w:val="00D651FA"/>
    <w:rsid w:val="00D66DD8"/>
    <w:rsid w:val="00D67861"/>
    <w:rsid w:val="00D719EF"/>
    <w:rsid w:val="00D7324A"/>
    <w:rsid w:val="00D74799"/>
    <w:rsid w:val="00D759B8"/>
    <w:rsid w:val="00D77703"/>
    <w:rsid w:val="00D80052"/>
    <w:rsid w:val="00D8047D"/>
    <w:rsid w:val="00D823E1"/>
    <w:rsid w:val="00D8272D"/>
    <w:rsid w:val="00D829F7"/>
    <w:rsid w:val="00D82F98"/>
    <w:rsid w:val="00D83E35"/>
    <w:rsid w:val="00D84ABC"/>
    <w:rsid w:val="00D85818"/>
    <w:rsid w:val="00D86EF6"/>
    <w:rsid w:val="00D90429"/>
    <w:rsid w:val="00D91F9A"/>
    <w:rsid w:val="00D94FAF"/>
    <w:rsid w:val="00D954AA"/>
    <w:rsid w:val="00D970AA"/>
    <w:rsid w:val="00DA1ADC"/>
    <w:rsid w:val="00DA1F80"/>
    <w:rsid w:val="00DA3B2C"/>
    <w:rsid w:val="00DA4708"/>
    <w:rsid w:val="00DA47D6"/>
    <w:rsid w:val="00DA4AE7"/>
    <w:rsid w:val="00DA5DA8"/>
    <w:rsid w:val="00DA6E59"/>
    <w:rsid w:val="00DA71D1"/>
    <w:rsid w:val="00DA7A21"/>
    <w:rsid w:val="00DB0AD3"/>
    <w:rsid w:val="00DB1484"/>
    <w:rsid w:val="00DB2B00"/>
    <w:rsid w:val="00DB32EA"/>
    <w:rsid w:val="00DB51C4"/>
    <w:rsid w:val="00DB6A1C"/>
    <w:rsid w:val="00DB739B"/>
    <w:rsid w:val="00DC1614"/>
    <w:rsid w:val="00DC23BD"/>
    <w:rsid w:val="00DC23D2"/>
    <w:rsid w:val="00DC3445"/>
    <w:rsid w:val="00DC7B88"/>
    <w:rsid w:val="00DD1730"/>
    <w:rsid w:val="00DD1A6D"/>
    <w:rsid w:val="00DD2397"/>
    <w:rsid w:val="00DD28BA"/>
    <w:rsid w:val="00DD380F"/>
    <w:rsid w:val="00DD3CD2"/>
    <w:rsid w:val="00DD572F"/>
    <w:rsid w:val="00DD6B6A"/>
    <w:rsid w:val="00DD7BB2"/>
    <w:rsid w:val="00DE1236"/>
    <w:rsid w:val="00DE1C2F"/>
    <w:rsid w:val="00DE2A75"/>
    <w:rsid w:val="00DE4300"/>
    <w:rsid w:val="00DE5E5D"/>
    <w:rsid w:val="00DE5F83"/>
    <w:rsid w:val="00DF2FDF"/>
    <w:rsid w:val="00DF39D3"/>
    <w:rsid w:val="00DF4502"/>
    <w:rsid w:val="00DF50E1"/>
    <w:rsid w:val="00DF6E48"/>
    <w:rsid w:val="00E004A4"/>
    <w:rsid w:val="00E00AC6"/>
    <w:rsid w:val="00E023B6"/>
    <w:rsid w:val="00E04898"/>
    <w:rsid w:val="00E0538D"/>
    <w:rsid w:val="00E06D88"/>
    <w:rsid w:val="00E104A4"/>
    <w:rsid w:val="00E10A8E"/>
    <w:rsid w:val="00E11DDF"/>
    <w:rsid w:val="00E14F8E"/>
    <w:rsid w:val="00E14FC5"/>
    <w:rsid w:val="00E15C05"/>
    <w:rsid w:val="00E1724B"/>
    <w:rsid w:val="00E17802"/>
    <w:rsid w:val="00E17BFE"/>
    <w:rsid w:val="00E20CCA"/>
    <w:rsid w:val="00E22586"/>
    <w:rsid w:val="00E22B7F"/>
    <w:rsid w:val="00E25561"/>
    <w:rsid w:val="00E275F1"/>
    <w:rsid w:val="00E30F6B"/>
    <w:rsid w:val="00E31FB8"/>
    <w:rsid w:val="00E32086"/>
    <w:rsid w:val="00E324A8"/>
    <w:rsid w:val="00E34583"/>
    <w:rsid w:val="00E36876"/>
    <w:rsid w:val="00E369EE"/>
    <w:rsid w:val="00E41C68"/>
    <w:rsid w:val="00E458ED"/>
    <w:rsid w:val="00E458F2"/>
    <w:rsid w:val="00E4740B"/>
    <w:rsid w:val="00E50518"/>
    <w:rsid w:val="00E50718"/>
    <w:rsid w:val="00E517DD"/>
    <w:rsid w:val="00E52437"/>
    <w:rsid w:val="00E54171"/>
    <w:rsid w:val="00E552DB"/>
    <w:rsid w:val="00E57220"/>
    <w:rsid w:val="00E61E4B"/>
    <w:rsid w:val="00E62279"/>
    <w:rsid w:val="00E6285C"/>
    <w:rsid w:val="00E63177"/>
    <w:rsid w:val="00E631CB"/>
    <w:rsid w:val="00E65F50"/>
    <w:rsid w:val="00E665AC"/>
    <w:rsid w:val="00E667D8"/>
    <w:rsid w:val="00E66CED"/>
    <w:rsid w:val="00E7033E"/>
    <w:rsid w:val="00E7062D"/>
    <w:rsid w:val="00E70BF9"/>
    <w:rsid w:val="00E71245"/>
    <w:rsid w:val="00E722C7"/>
    <w:rsid w:val="00E72D45"/>
    <w:rsid w:val="00E73E62"/>
    <w:rsid w:val="00E749AD"/>
    <w:rsid w:val="00E74AAA"/>
    <w:rsid w:val="00E75726"/>
    <w:rsid w:val="00E767C9"/>
    <w:rsid w:val="00E77EAB"/>
    <w:rsid w:val="00E80ACD"/>
    <w:rsid w:val="00E840E4"/>
    <w:rsid w:val="00E847D5"/>
    <w:rsid w:val="00E87168"/>
    <w:rsid w:val="00E873F4"/>
    <w:rsid w:val="00E90314"/>
    <w:rsid w:val="00E90486"/>
    <w:rsid w:val="00E9057E"/>
    <w:rsid w:val="00E91821"/>
    <w:rsid w:val="00E93D50"/>
    <w:rsid w:val="00E945D1"/>
    <w:rsid w:val="00E94E2C"/>
    <w:rsid w:val="00E967FC"/>
    <w:rsid w:val="00E97D8A"/>
    <w:rsid w:val="00EA0BA6"/>
    <w:rsid w:val="00EA0C66"/>
    <w:rsid w:val="00EA0FE0"/>
    <w:rsid w:val="00EA2222"/>
    <w:rsid w:val="00EA2A91"/>
    <w:rsid w:val="00EA33F8"/>
    <w:rsid w:val="00EA4746"/>
    <w:rsid w:val="00EA48CA"/>
    <w:rsid w:val="00EA521D"/>
    <w:rsid w:val="00EA52BB"/>
    <w:rsid w:val="00EA5C61"/>
    <w:rsid w:val="00EA5E44"/>
    <w:rsid w:val="00EA6A5F"/>
    <w:rsid w:val="00EA6FA8"/>
    <w:rsid w:val="00EB09C7"/>
    <w:rsid w:val="00EB0C81"/>
    <w:rsid w:val="00EB12D0"/>
    <w:rsid w:val="00EB1F56"/>
    <w:rsid w:val="00EB2023"/>
    <w:rsid w:val="00EB22AC"/>
    <w:rsid w:val="00EB26FF"/>
    <w:rsid w:val="00EB3CA5"/>
    <w:rsid w:val="00EB4624"/>
    <w:rsid w:val="00EB4BCD"/>
    <w:rsid w:val="00EB4C0A"/>
    <w:rsid w:val="00EB5608"/>
    <w:rsid w:val="00EB5FC3"/>
    <w:rsid w:val="00EC110F"/>
    <w:rsid w:val="00EC48EC"/>
    <w:rsid w:val="00EC49D7"/>
    <w:rsid w:val="00ED04D4"/>
    <w:rsid w:val="00ED2793"/>
    <w:rsid w:val="00ED5940"/>
    <w:rsid w:val="00ED6C4E"/>
    <w:rsid w:val="00ED71FB"/>
    <w:rsid w:val="00ED7C22"/>
    <w:rsid w:val="00EE1A02"/>
    <w:rsid w:val="00EE2AF9"/>
    <w:rsid w:val="00EE2DA2"/>
    <w:rsid w:val="00EE3420"/>
    <w:rsid w:val="00EE607C"/>
    <w:rsid w:val="00EE6377"/>
    <w:rsid w:val="00EE758E"/>
    <w:rsid w:val="00EE76EF"/>
    <w:rsid w:val="00EF048D"/>
    <w:rsid w:val="00EF0A84"/>
    <w:rsid w:val="00EF0AA3"/>
    <w:rsid w:val="00EF0DE0"/>
    <w:rsid w:val="00EF1308"/>
    <w:rsid w:val="00EF2281"/>
    <w:rsid w:val="00EF232B"/>
    <w:rsid w:val="00EF31EE"/>
    <w:rsid w:val="00EF372F"/>
    <w:rsid w:val="00EF4714"/>
    <w:rsid w:val="00EF482B"/>
    <w:rsid w:val="00EF5AA6"/>
    <w:rsid w:val="00EF663E"/>
    <w:rsid w:val="00EF6DAE"/>
    <w:rsid w:val="00EF7901"/>
    <w:rsid w:val="00F00F0F"/>
    <w:rsid w:val="00F00FAB"/>
    <w:rsid w:val="00F01524"/>
    <w:rsid w:val="00F015AF"/>
    <w:rsid w:val="00F02B4A"/>
    <w:rsid w:val="00F0301A"/>
    <w:rsid w:val="00F03332"/>
    <w:rsid w:val="00F036BC"/>
    <w:rsid w:val="00F047BB"/>
    <w:rsid w:val="00F06572"/>
    <w:rsid w:val="00F07DFF"/>
    <w:rsid w:val="00F07E89"/>
    <w:rsid w:val="00F10018"/>
    <w:rsid w:val="00F1010F"/>
    <w:rsid w:val="00F112DE"/>
    <w:rsid w:val="00F12289"/>
    <w:rsid w:val="00F12BEA"/>
    <w:rsid w:val="00F1410C"/>
    <w:rsid w:val="00F142E0"/>
    <w:rsid w:val="00F144AE"/>
    <w:rsid w:val="00F14B27"/>
    <w:rsid w:val="00F15EB1"/>
    <w:rsid w:val="00F163BA"/>
    <w:rsid w:val="00F1777F"/>
    <w:rsid w:val="00F20363"/>
    <w:rsid w:val="00F20C48"/>
    <w:rsid w:val="00F21B45"/>
    <w:rsid w:val="00F228A8"/>
    <w:rsid w:val="00F240DB"/>
    <w:rsid w:val="00F24376"/>
    <w:rsid w:val="00F24614"/>
    <w:rsid w:val="00F2593B"/>
    <w:rsid w:val="00F25BAF"/>
    <w:rsid w:val="00F260C7"/>
    <w:rsid w:val="00F27378"/>
    <w:rsid w:val="00F300B4"/>
    <w:rsid w:val="00F30220"/>
    <w:rsid w:val="00F3022E"/>
    <w:rsid w:val="00F304B9"/>
    <w:rsid w:val="00F32561"/>
    <w:rsid w:val="00F32C32"/>
    <w:rsid w:val="00F33513"/>
    <w:rsid w:val="00F33AC5"/>
    <w:rsid w:val="00F3520A"/>
    <w:rsid w:val="00F3538A"/>
    <w:rsid w:val="00F37614"/>
    <w:rsid w:val="00F37620"/>
    <w:rsid w:val="00F37AEA"/>
    <w:rsid w:val="00F41677"/>
    <w:rsid w:val="00F41711"/>
    <w:rsid w:val="00F42125"/>
    <w:rsid w:val="00F44AA7"/>
    <w:rsid w:val="00F45505"/>
    <w:rsid w:val="00F46A4B"/>
    <w:rsid w:val="00F51036"/>
    <w:rsid w:val="00F51AD9"/>
    <w:rsid w:val="00F51F3C"/>
    <w:rsid w:val="00F528FA"/>
    <w:rsid w:val="00F52C7A"/>
    <w:rsid w:val="00F54FB0"/>
    <w:rsid w:val="00F557C3"/>
    <w:rsid w:val="00F60330"/>
    <w:rsid w:val="00F615F8"/>
    <w:rsid w:val="00F62D57"/>
    <w:rsid w:val="00F63376"/>
    <w:rsid w:val="00F6613B"/>
    <w:rsid w:val="00F679CC"/>
    <w:rsid w:val="00F70155"/>
    <w:rsid w:val="00F714F9"/>
    <w:rsid w:val="00F7239F"/>
    <w:rsid w:val="00F72432"/>
    <w:rsid w:val="00F72687"/>
    <w:rsid w:val="00F72999"/>
    <w:rsid w:val="00F74134"/>
    <w:rsid w:val="00F752BA"/>
    <w:rsid w:val="00F75891"/>
    <w:rsid w:val="00F7764C"/>
    <w:rsid w:val="00F81FBE"/>
    <w:rsid w:val="00F83DEF"/>
    <w:rsid w:val="00F83E8E"/>
    <w:rsid w:val="00F84318"/>
    <w:rsid w:val="00F847AB"/>
    <w:rsid w:val="00F8610A"/>
    <w:rsid w:val="00F876A5"/>
    <w:rsid w:val="00F87770"/>
    <w:rsid w:val="00F91F84"/>
    <w:rsid w:val="00F92757"/>
    <w:rsid w:val="00F928E2"/>
    <w:rsid w:val="00F946ED"/>
    <w:rsid w:val="00F95429"/>
    <w:rsid w:val="00F96EFA"/>
    <w:rsid w:val="00F973FF"/>
    <w:rsid w:val="00FA056F"/>
    <w:rsid w:val="00FA5BA5"/>
    <w:rsid w:val="00FA75D6"/>
    <w:rsid w:val="00FB0783"/>
    <w:rsid w:val="00FB16CE"/>
    <w:rsid w:val="00FB2552"/>
    <w:rsid w:val="00FB2CDB"/>
    <w:rsid w:val="00FB32D8"/>
    <w:rsid w:val="00FB3C15"/>
    <w:rsid w:val="00FB4157"/>
    <w:rsid w:val="00FB4E58"/>
    <w:rsid w:val="00FB52A7"/>
    <w:rsid w:val="00FB534F"/>
    <w:rsid w:val="00FB53AE"/>
    <w:rsid w:val="00FB7D9A"/>
    <w:rsid w:val="00FC0920"/>
    <w:rsid w:val="00FC0A05"/>
    <w:rsid w:val="00FC18D2"/>
    <w:rsid w:val="00FC1CEE"/>
    <w:rsid w:val="00FC3251"/>
    <w:rsid w:val="00FC365D"/>
    <w:rsid w:val="00FC36E7"/>
    <w:rsid w:val="00FC46B7"/>
    <w:rsid w:val="00FC5D6C"/>
    <w:rsid w:val="00FC6EE5"/>
    <w:rsid w:val="00FC789A"/>
    <w:rsid w:val="00FD1808"/>
    <w:rsid w:val="00FD1C9B"/>
    <w:rsid w:val="00FD2DD7"/>
    <w:rsid w:val="00FD312D"/>
    <w:rsid w:val="00FD3302"/>
    <w:rsid w:val="00FD61CD"/>
    <w:rsid w:val="00FD695A"/>
    <w:rsid w:val="00FE0F19"/>
    <w:rsid w:val="00FE0F89"/>
    <w:rsid w:val="00FE2BD3"/>
    <w:rsid w:val="00FE37FF"/>
    <w:rsid w:val="00FE4934"/>
    <w:rsid w:val="00FE5346"/>
    <w:rsid w:val="00FE6270"/>
    <w:rsid w:val="00FE66AE"/>
    <w:rsid w:val="00FE7C56"/>
    <w:rsid w:val="00FE7F42"/>
    <w:rsid w:val="00FF0285"/>
    <w:rsid w:val="00FF0DD9"/>
    <w:rsid w:val="00FF120E"/>
    <w:rsid w:val="00FF2589"/>
    <w:rsid w:val="00FF2FBF"/>
    <w:rsid w:val="00FF3F33"/>
    <w:rsid w:val="00FF5B1E"/>
    <w:rsid w:val="00FF624F"/>
    <w:rsid w:val="00FF6D89"/>
    <w:rsid w:val="00FF7B38"/>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A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107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734"/>
    <w:rPr>
      <w:rFonts w:ascii="Segoe UI" w:hAnsi="Segoe UI" w:cs="Segoe UI"/>
      <w:sz w:val="18"/>
      <w:szCs w:val="18"/>
    </w:rPr>
  </w:style>
  <w:style w:type="paragraph" w:styleId="ListParagraph">
    <w:name w:val="List Paragraph"/>
    <w:basedOn w:val="Normal"/>
    <w:uiPriority w:val="34"/>
    <w:qFormat/>
    <w:rsid w:val="000F4B69"/>
    <w:pPr>
      <w:ind w:left="720"/>
      <w:contextualSpacing/>
    </w:pPr>
  </w:style>
  <w:style w:type="paragraph" w:styleId="Header">
    <w:name w:val="header"/>
    <w:basedOn w:val="Normal"/>
    <w:link w:val="HeaderChar"/>
    <w:uiPriority w:val="99"/>
    <w:unhideWhenUsed/>
    <w:rsid w:val="000750BB"/>
    <w:pPr>
      <w:tabs>
        <w:tab w:val="center" w:pos="4536"/>
        <w:tab w:val="right" w:pos="9072"/>
      </w:tabs>
      <w:spacing w:line="240" w:lineRule="auto"/>
    </w:pPr>
  </w:style>
  <w:style w:type="character" w:customStyle="1" w:styleId="HeaderChar">
    <w:name w:val="Header Char"/>
    <w:basedOn w:val="DefaultParagraphFont"/>
    <w:link w:val="Header"/>
    <w:uiPriority w:val="99"/>
    <w:rsid w:val="000750BB"/>
  </w:style>
  <w:style w:type="paragraph" w:styleId="Footer">
    <w:name w:val="footer"/>
    <w:basedOn w:val="Normal"/>
    <w:link w:val="FooterChar"/>
    <w:uiPriority w:val="99"/>
    <w:unhideWhenUsed/>
    <w:rsid w:val="000750BB"/>
    <w:pPr>
      <w:tabs>
        <w:tab w:val="center" w:pos="4536"/>
        <w:tab w:val="right" w:pos="9072"/>
      </w:tabs>
      <w:spacing w:line="240" w:lineRule="auto"/>
    </w:pPr>
  </w:style>
  <w:style w:type="character" w:customStyle="1" w:styleId="FooterChar">
    <w:name w:val="Footer Char"/>
    <w:basedOn w:val="DefaultParagraphFont"/>
    <w:link w:val="Footer"/>
    <w:uiPriority w:val="99"/>
    <w:rsid w:val="000750BB"/>
  </w:style>
  <w:style w:type="paragraph" w:customStyle="1" w:styleId="ManualNumPar1">
    <w:name w:val="Manual NumPar 1"/>
    <w:basedOn w:val="Normal"/>
    <w:next w:val="Normal"/>
    <w:rsid w:val="00EB1F56"/>
    <w:pPr>
      <w:spacing w:before="120" w:after="120" w:line="240" w:lineRule="auto"/>
      <w:ind w:left="850" w:hanging="850"/>
      <w:jc w:val="both"/>
    </w:pPr>
    <w:rPr>
      <w:rFonts w:ascii="Times New Roman" w:eastAsiaTheme="minorHAnsi" w:hAnsi="Times New Roman" w:cs="Times New Roman"/>
      <w:sz w:val="24"/>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F51AD9"/>
    <w:rPr>
      <w:sz w:val="20"/>
      <w:szCs w:val="20"/>
    </w:rPr>
  </w:style>
  <w:style w:type="paragraph" w:styleId="CommentSubject">
    <w:name w:val="annotation subject"/>
    <w:basedOn w:val="CommentText"/>
    <w:next w:val="CommentText"/>
    <w:link w:val="CommentSubjectChar"/>
    <w:uiPriority w:val="99"/>
    <w:semiHidden/>
    <w:unhideWhenUsed/>
    <w:rsid w:val="00F51AD9"/>
    <w:rPr>
      <w:b/>
      <w:bCs/>
    </w:rPr>
  </w:style>
  <w:style w:type="character" w:customStyle="1" w:styleId="CommentSubjectChar">
    <w:name w:val="Comment Subject Char"/>
    <w:basedOn w:val="CommentTextChar"/>
    <w:link w:val="CommentSubject"/>
    <w:uiPriority w:val="99"/>
    <w:semiHidden/>
    <w:rsid w:val="00F51AD9"/>
    <w:rPr>
      <w:b/>
      <w:bCs/>
      <w:sz w:val="20"/>
      <w:szCs w:val="20"/>
    </w:rPr>
  </w:style>
  <w:style w:type="table" w:styleId="TableGrid">
    <w:name w:val="Table Grid"/>
    <w:basedOn w:val="TableNormal"/>
    <w:uiPriority w:val="39"/>
    <w:rsid w:val="000F69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50F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Body">
    <w:name w:val="Body"/>
    <w:rsid w:val="00C0167A"/>
    <w:rPr>
      <w:rFonts w:ascii="Arial Unicode MS" w:eastAsia="Arial Unicode MS" w:cs="Arial Unicode MS"/>
      <w:color w:val="000000"/>
      <w:u w:color="000000"/>
      <w:lang w:eastAsia="en-US"/>
    </w:rPr>
  </w:style>
  <w:style w:type="paragraph" w:customStyle="1" w:styleId="Default">
    <w:name w:val="Default"/>
    <w:rsid w:val="00C0167A"/>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paragraph" w:customStyle="1" w:styleId="ManualConsidrant">
    <w:name w:val="Manual Considérant"/>
    <w:basedOn w:val="Normal"/>
    <w:rsid w:val="00EF663E"/>
    <w:pPr>
      <w:spacing w:before="120" w:after="120" w:line="240" w:lineRule="auto"/>
      <w:ind w:left="709" w:hanging="709"/>
      <w:jc w:val="both"/>
    </w:pPr>
    <w:rPr>
      <w:rFonts w:ascii="Times New Roman" w:eastAsia="Times New Roman" w:hAnsi="Times New Roman" w:cs="Times New Roman"/>
      <w:sz w:val="24"/>
      <w:lang w:bidi="bg-BG"/>
    </w:rPr>
  </w:style>
  <w:style w:type="paragraph" w:styleId="Revision">
    <w:name w:val="Revision"/>
    <w:hidden/>
    <w:uiPriority w:val="99"/>
    <w:semiHidden/>
    <w:rsid w:val="00E63177"/>
    <w:pPr>
      <w:spacing w:line="240" w:lineRule="auto"/>
    </w:pPr>
  </w:style>
  <w:style w:type="paragraph" w:styleId="EndnoteText">
    <w:name w:val="endnote text"/>
    <w:basedOn w:val="Normal"/>
    <w:link w:val="EndnoteTextChar"/>
    <w:uiPriority w:val="99"/>
    <w:semiHidden/>
    <w:unhideWhenUsed/>
    <w:rsid w:val="00FA75D6"/>
    <w:pPr>
      <w:spacing w:line="240" w:lineRule="auto"/>
    </w:pPr>
    <w:rPr>
      <w:sz w:val="20"/>
      <w:szCs w:val="20"/>
    </w:rPr>
  </w:style>
  <w:style w:type="character" w:customStyle="1" w:styleId="EndnoteTextChar">
    <w:name w:val="Endnote Text Char"/>
    <w:basedOn w:val="DefaultParagraphFont"/>
    <w:link w:val="EndnoteText"/>
    <w:uiPriority w:val="99"/>
    <w:semiHidden/>
    <w:rsid w:val="00FA75D6"/>
    <w:rPr>
      <w:sz w:val="20"/>
      <w:szCs w:val="20"/>
    </w:rPr>
  </w:style>
  <w:style w:type="character" w:styleId="EndnoteReference">
    <w:name w:val="endnote reference"/>
    <w:basedOn w:val="DefaultParagraphFont"/>
    <w:uiPriority w:val="99"/>
    <w:semiHidden/>
    <w:unhideWhenUsed/>
    <w:rsid w:val="00FA75D6"/>
    <w:rPr>
      <w:vertAlign w:val="superscript"/>
    </w:rPr>
  </w:style>
  <w:style w:type="paragraph" w:customStyle="1" w:styleId="yiv0638161150msonormal">
    <w:name w:val="yiv0638161150msonormal"/>
    <w:basedOn w:val="Normal"/>
    <w:rsid w:val="00B429EA"/>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1531560104ydp693bf732msolistparagraph">
    <w:name w:val="yiv1531560104ydp693bf732msolistparagraph"/>
    <w:basedOn w:val="Normal"/>
    <w:rsid w:val="005654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31560104ydp693bf732msonormal">
    <w:name w:val="yiv1531560104ydp693bf732msonormal"/>
    <w:basedOn w:val="Normal"/>
    <w:rsid w:val="00F928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107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734"/>
    <w:rPr>
      <w:rFonts w:ascii="Segoe UI" w:hAnsi="Segoe UI" w:cs="Segoe UI"/>
      <w:sz w:val="18"/>
      <w:szCs w:val="18"/>
    </w:rPr>
  </w:style>
  <w:style w:type="paragraph" w:styleId="ListParagraph">
    <w:name w:val="List Paragraph"/>
    <w:basedOn w:val="Normal"/>
    <w:uiPriority w:val="34"/>
    <w:qFormat/>
    <w:rsid w:val="000F4B69"/>
    <w:pPr>
      <w:ind w:left="720"/>
      <w:contextualSpacing/>
    </w:pPr>
  </w:style>
  <w:style w:type="paragraph" w:styleId="Header">
    <w:name w:val="header"/>
    <w:basedOn w:val="Normal"/>
    <w:link w:val="HeaderChar"/>
    <w:uiPriority w:val="99"/>
    <w:unhideWhenUsed/>
    <w:rsid w:val="000750BB"/>
    <w:pPr>
      <w:tabs>
        <w:tab w:val="center" w:pos="4536"/>
        <w:tab w:val="right" w:pos="9072"/>
      </w:tabs>
      <w:spacing w:line="240" w:lineRule="auto"/>
    </w:pPr>
  </w:style>
  <w:style w:type="character" w:customStyle="1" w:styleId="HeaderChar">
    <w:name w:val="Header Char"/>
    <w:basedOn w:val="DefaultParagraphFont"/>
    <w:link w:val="Header"/>
    <w:uiPriority w:val="99"/>
    <w:rsid w:val="000750BB"/>
  </w:style>
  <w:style w:type="paragraph" w:styleId="Footer">
    <w:name w:val="footer"/>
    <w:basedOn w:val="Normal"/>
    <w:link w:val="FooterChar"/>
    <w:uiPriority w:val="99"/>
    <w:unhideWhenUsed/>
    <w:rsid w:val="000750BB"/>
    <w:pPr>
      <w:tabs>
        <w:tab w:val="center" w:pos="4536"/>
        <w:tab w:val="right" w:pos="9072"/>
      </w:tabs>
      <w:spacing w:line="240" w:lineRule="auto"/>
    </w:pPr>
  </w:style>
  <w:style w:type="character" w:customStyle="1" w:styleId="FooterChar">
    <w:name w:val="Footer Char"/>
    <w:basedOn w:val="DefaultParagraphFont"/>
    <w:link w:val="Footer"/>
    <w:uiPriority w:val="99"/>
    <w:rsid w:val="000750BB"/>
  </w:style>
  <w:style w:type="paragraph" w:customStyle="1" w:styleId="ManualNumPar1">
    <w:name w:val="Manual NumPar 1"/>
    <w:basedOn w:val="Normal"/>
    <w:next w:val="Normal"/>
    <w:rsid w:val="00EB1F56"/>
    <w:pPr>
      <w:spacing w:before="120" w:after="120" w:line="240" w:lineRule="auto"/>
      <w:ind w:left="850" w:hanging="850"/>
      <w:jc w:val="both"/>
    </w:pPr>
    <w:rPr>
      <w:rFonts w:ascii="Times New Roman" w:eastAsiaTheme="minorHAnsi" w:hAnsi="Times New Roman" w:cs="Times New Roman"/>
      <w:sz w:val="24"/>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F51AD9"/>
    <w:rPr>
      <w:sz w:val="20"/>
      <w:szCs w:val="20"/>
    </w:rPr>
  </w:style>
  <w:style w:type="paragraph" w:styleId="CommentSubject">
    <w:name w:val="annotation subject"/>
    <w:basedOn w:val="CommentText"/>
    <w:next w:val="CommentText"/>
    <w:link w:val="CommentSubjectChar"/>
    <w:uiPriority w:val="99"/>
    <w:semiHidden/>
    <w:unhideWhenUsed/>
    <w:rsid w:val="00F51AD9"/>
    <w:rPr>
      <w:b/>
      <w:bCs/>
    </w:rPr>
  </w:style>
  <w:style w:type="character" w:customStyle="1" w:styleId="CommentSubjectChar">
    <w:name w:val="Comment Subject Char"/>
    <w:basedOn w:val="CommentTextChar"/>
    <w:link w:val="CommentSubject"/>
    <w:uiPriority w:val="99"/>
    <w:semiHidden/>
    <w:rsid w:val="00F51AD9"/>
    <w:rPr>
      <w:b/>
      <w:bCs/>
      <w:sz w:val="20"/>
      <w:szCs w:val="20"/>
    </w:rPr>
  </w:style>
  <w:style w:type="table" w:styleId="TableGrid">
    <w:name w:val="Table Grid"/>
    <w:basedOn w:val="TableNormal"/>
    <w:uiPriority w:val="39"/>
    <w:rsid w:val="000F69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50F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Body">
    <w:name w:val="Body"/>
    <w:rsid w:val="00C0167A"/>
    <w:rPr>
      <w:rFonts w:ascii="Arial Unicode MS" w:eastAsia="Arial Unicode MS" w:cs="Arial Unicode MS"/>
      <w:color w:val="000000"/>
      <w:u w:color="000000"/>
      <w:lang w:eastAsia="en-US"/>
    </w:rPr>
  </w:style>
  <w:style w:type="paragraph" w:customStyle="1" w:styleId="Default">
    <w:name w:val="Default"/>
    <w:rsid w:val="00C0167A"/>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paragraph" w:customStyle="1" w:styleId="ManualConsidrant">
    <w:name w:val="Manual Considérant"/>
    <w:basedOn w:val="Normal"/>
    <w:rsid w:val="00EF663E"/>
    <w:pPr>
      <w:spacing w:before="120" w:after="120" w:line="240" w:lineRule="auto"/>
      <w:ind w:left="709" w:hanging="709"/>
      <w:jc w:val="both"/>
    </w:pPr>
    <w:rPr>
      <w:rFonts w:ascii="Times New Roman" w:eastAsia="Times New Roman" w:hAnsi="Times New Roman" w:cs="Times New Roman"/>
      <w:sz w:val="24"/>
      <w:lang w:bidi="bg-BG"/>
    </w:rPr>
  </w:style>
  <w:style w:type="paragraph" w:styleId="Revision">
    <w:name w:val="Revision"/>
    <w:hidden/>
    <w:uiPriority w:val="99"/>
    <w:semiHidden/>
    <w:rsid w:val="00E63177"/>
    <w:pPr>
      <w:spacing w:line="240" w:lineRule="auto"/>
    </w:pPr>
  </w:style>
  <w:style w:type="paragraph" w:styleId="EndnoteText">
    <w:name w:val="endnote text"/>
    <w:basedOn w:val="Normal"/>
    <w:link w:val="EndnoteTextChar"/>
    <w:uiPriority w:val="99"/>
    <w:semiHidden/>
    <w:unhideWhenUsed/>
    <w:rsid w:val="00FA75D6"/>
    <w:pPr>
      <w:spacing w:line="240" w:lineRule="auto"/>
    </w:pPr>
    <w:rPr>
      <w:sz w:val="20"/>
      <w:szCs w:val="20"/>
    </w:rPr>
  </w:style>
  <w:style w:type="character" w:customStyle="1" w:styleId="EndnoteTextChar">
    <w:name w:val="Endnote Text Char"/>
    <w:basedOn w:val="DefaultParagraphFont"/>
    <w:link w:val="EndnoteText"/>
    <w:uiPriority w:val="99"/>
    <w:semiHidden/>
    <w:rsid w:val="00FA75D6"/>
    <w:rPr>
      <w:sz w:val="20"/>
      <w:szCs w:val="20"/>
    </w:rPr>
  </w:style>
  <w:style w:type="character" w:styleId="EndnoteReference">
    <w:name w:val="endnote reference"/>
    <w:basedOn w:val="DefaultParagraphFont"/>
    <w:uiPriority w:val="99"/>
    <w:semiHidden/>
    <w:unhideWhenUsed/>
    <w:rsid w:val="00FA75D6"/>
    <w:rPr>
      <w:vertAlign w:val="superscript"/>
    </w:rPr>
  </w:style>
  <w:style w:type="paragraph" w:customStyle="1" w:styleId="yiv0638161150msonormal">
    <w:name w:val="yiv0638161150msonormal"/>
    <w:basedOn w:val="Normal"/>
    <w:rsid w:val="00B429EA"/>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1531560104ydp693bf732msolistparagraph">
    <w:name w:val="yiv1531560104ydp693bf732msolistparagraph"/>
    <w:basedOn w:val="Normal"/>
    <w:rsid w:val="005654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31560104ydp693bf732msonormal">
    <w:name w:val="yiv1531560104ydp693bf732msonormal"/>
    <w:basedOn w:val="Normal"/>
    <w:rsid w:val="00F928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6953">
      <w:bodyDiv w:val="1"/>
      <w:marLeft w:val="0"/>
      <w:marRight w:val="0"/>
      <w:marTop w:val="0"/>
      <w:marBottom w:val="0"/>
      <w:divBdr>
        <w:top w:val="none" w:sz="0" w:space="0" w:color="auto"/>
        <w:left w:val="none" w:sz="0" w:space="0" w:color="auto"/>
        <w:bottom w:val="none" w:sz="0" w:space="0" w:color="auto"/>
        <w:right w:val="none" w:sz="0" w:space="0" w:color="auto"/>
      </w:divBdr>
    </w:div>
    <w:div w:id="154348064">
      <w:bodyDiv w:val="1"/>
      <w:marLeft w:val="0"/>
      <w:marRight w:val="0"/>
      <w:marTop w:val="0"/>
      <w:marBottom w:val="0"/>
      <w:divBdr>
        <w:top w:val="none" w:sz="0" w:space="0" w:color="auto"/>
        <w:left w:val="none" w:sz="0" w:space="0" w:color="auto"/>
        <w:bottom w:val="none" w:sz="0" w:space="0" w:color="auto"/>
        <w:right w:val="none" w:sz="0" w:space="0" w:color="auto"/>
      </w:divBdr>
    </w:div>
    <w:div w:id="484013131">
      <w:bodyDiv w:val="1"/>
      <w:marLeft w:val="0"/>
      <w:marRight w:val="0"/>
      <w:marTop w:val="0"/>
      <w:marBottom w:val="0"/>
      <w:divBdr>
        <w:top w:val="none" w:sz="0" w:space="0" w:color="auto"/>
        <w:left w:val="none" w:sz="0" w:space="0" w:color="auto"/>
        <w:bottom w:val="none" w:sz="0" w:space="0" w:color="auto"/>
        <w:right w:val="none" w:sz="0" w:space="0" w:color="auto"/>
      </w:divBdr>
    </w:div>
    <w:div w:id="529994633">
      <w:bodyDiv w:val="1"/>
      <w:marLeft w:val="0"/>
      <w:marRight w:val="0"/>
      <w:marTop w:val="0"/>
      <w:marBottom w:val="0"/>
      <w:divBdr>
        <w:top w:val="none" w:sz="0" w:space="0" w:color="auto"/>
        <w:left w:val="none" w:sz="0" w:space="0" w:color="auto"/>
        <w:bottom w:val="none" w:sz="0" w:space="0" w:color="auto"/>
        <w:right w:val="none" w:sz="0" w:space="0" w:color="auto"/>
      </w:divBdr>
    </w:div>
    <w:div w:id="726951053">
      <w:bodyDiv w:val="1"/>
      <w:marLeft w:val="0"/>
      <w:marRight w:val="0"/>
      <w:marTop w:val="0"/>
      <w:marBottom w:val="0"/>
      <w:divBdr>
        <w:top w:val="none" w:sz="0" w:space="0" w:color="auto"/>
        <w:left w:val="none" w:sz="0" w:space="0" w:color="auto"/>
        <w:bottom w:val="none" w:sz="0" w:space="0" w:color="auto"/>
        <w:right w:val="none" w:sz="0" w:space="0" w:color="auto"/>
      </w:divBdr>
    </w:div>
    <w:div w:id="739837388">
      <w:bodyDiv w:val="1"/>
      <w:marLeft w:val="0"/>
      <w:marRight w:val="0"/>
      <w:marTop w:val="0"/>
      <w:marBottom w:val="0"/>
      <w:divBdr>
        <w:top w:val="none" w:sz="0" w:space="0" w:color="auto"/>
        <w:left w:val="none" w:sz="0" w:space="0" w:color="auto"/>
        <w:bottom w:val="none" w:sz="0" w:space="0" w:color="auto"/>
        <w:right w:val="none" w:sz="0" w:space="0" w:color="auto"/>
      </w:divBdr>
      <w:divsChild>
        <w:div w:id="555622934">
          <w:marLeft w:val="0"/>
          <w:marRight w:val="0"/>
          <w:marTop w:val="0"/>
          <w:marBottom w:val="0"/>
          <w:divBdr>
            <w:top w:val="none" w:sz="0" w:space="0" w:color="auto"/>
            <w:left w:val="none" w:sz="0" w:space="0" w:color="auto"/>
            <w:bottom w:val="none" w:sz="0" w:space="0" w:color="auto"/>
            <w:right w:val="none" w:sz="0" w:space="0" w:color="auto"/>
          </w:divBdr>
          <w:divsChild>
            <w:div w:id="1575819500">
              <w:marLeft w:val="0"/>
              <w:marRight w:val="0"/>
              <w:marTop w:val="0"/>
              <w:marBottom w:val="0"/>
              <w:divBdr>
                <w:top w:val="none" w:sz="0" w:space="0" w:color="auto"/>
                <w:left w:val="none" w:sz="0" w:space="0" w:color="auto"/>
                <w:bottom w:val="none" w:sz="0" w:space="0" w:color="auto"/>
                <w:right w:val="none" w:sz="0" w:space="0" w:color="auto"/>
              </w:divBdr>
              <w:divsChild>
                <w:div w:id="868644394">
                  <w:marLeft w:val="0"/>
                  <w:marRight w:val="0"/>
                  <w:marTop w:val="0"/>
                  <w:marBottom w:val="0"/>
                  <w:divBdr>
                    <w:top w:val="none" w:sz="0" w:space="0" w:color="auto"/>
                    <w:left w:val="none" w:sz="0" w:space="0" w:color="auto"/>
                    <w:bottom w:val="none" w:sz="0" w:space="0" w:color="auto"/>
                    <w:right w:val="none" w:sz="0" w:space="0" w:color="auto"/>
                  </w:divBdr>
                  <w:divsChild>
                    <w:div w:id="6154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5388">
      <w:bodyDiv w:val="1"/>
      <w:marLeft w:val="0"/>
      <w:marRight w:val="0"/>
      <w:marTop w:val="0"/>
      <w:marBottom w:val="0"/>
      <w:divBdr>
        <w:top w:val="none" w:sz="0" w:space="0" w:color="auto"/>
        <w:left w:val="none" w:sz="0" w:space="0" w:color="auto"/>
        <w:bottom w:val="none" w:sz="0" w:space="0" w:color="auto"/>
        <w:right w:val="none" w:sz="0" w:space="0" w:color="auto"/>
      </w:divBdr>
    </w:div>
    <w:div w:id="1017387606">
      <w:bodyDiv w:val="1"/>
      <w:marLeft w:val="0"/>
      <w:marRight w:val="0"/>
      <w:marTop w:val="0"/>
      <w:marBottom w:val="0"/>
      <w:divBdr>
        <w:top w:val="none" w:sz="0" w:space="0" w:color="auto"/>
        <w:left w:val="none" w:sz="0" w:space="0" w:color="auto"/>
        <w:bottom w:val="none" w:sz="0" w:space="0" w:color="auto"/>
        <w:right w:val="none" w:sz="0" w:space="0" w:color="auto"/>
      </w:divBdr>
    </w:div>
    <w:div w:id="1079912924">
      <w:bodyDiv w:val="1"/>
      <w:marLeft w:val="0"/>
      <w:marRight w:val="0"/>
      <w:marTop w:val="0"/>
      <w:marBottom w:val="0"/>
      <w:divBdr>
        <w:top w:val="none" w:sz="0" w:space="0" w:color="auto"/>
        <w:left w:val="none" w:sz="0" w:space="0" w:color="auto"/>
        <w:bottom w:val="none" w:sz="0" w:space="0" w:color="auto"/>
        <w:right w:val="none" w:sz="0" w:space="0" w:color="auto"/>
      </w:divBdr>
    </w:div>
    <w:div w:id="1171526557">
      <w:bodyDiv w:val="1"/>
      <w:marLeft w:val="0"/>
      <w:marRight w:val="0"/>
      <w:marTop w:val="0"/>
      <w:marBottom w:val="0"/>
      <w:divBdr>
        <w:top w:val="none" w:sz="0" w:space="0" w:color="auto"/>
        <w:left w:val="none" w:sz="0" w:space="0" w:color="auto"/>
        <w:bottom w:val="none" w:sz="0" w:space="0" w:color="auto"/>
        <w:right w:val="none" w:sz="0" w:space="0" w:color="auto"/>
      </w:divBdr>
    </w:div>
    <w:div w:id="1529638132">
      <w:bodyDiv w:val="1"/>
      <w:marLeft w:val="0"/>
      <w:marRight w:val="0"/>
      <w:marTop w:val="0"/>
      <w:marBottom w:val="0"/>
      <w:divBdr>
        <w:top w:val="none" w:sz="0" w:space="0" w:color="auto"/>
        <w:left w:val="none" w:sz="0" w:space="0" w:color="auto"/>
        <w:bottom w:val="none" w:sz="0" w:space="0" w:color="auto"/>
        <w:right w:val="none" w:sz="0" w:space="0" w:color="auto"/>
      </w:divBdr>
    </w:div>
    <w:div w:id="1558319144">
      <w:bodyDiv w:val="1"/>
      <w:marLeft w:val="0"/>
      <w:marRight w:val="0"/>
      <w:marTop w:val="0"/>
      <w:marBottom w:val="0"/>
      <w:divBdr>
        <w:top w:val="none" w:sz="0" w:space="0" w:color="auto"/>
        <w:left w:val="none" w:sz="0" w:space="0" w:color="auto"/>
        <w:bottom w:val="none" w:sz="0" w:space="0" w:color="auto"/>
        <w:right w:val="none" w:sz="0" w:space="0" w:color="auto"/>
      </w:divBdr>
    </w:div>
    <w:div w:id="1601570018">
      <w:bodyDiv w:val="1"/>
      <w:marLeft w:val="0"/>
      <w:marRight w:val="0"/>
      <w:marTop w:val="0"/>
      <w:marBottom w:val="0"/>
      <w:divBdr>
        <w:top w:val="none" w:sz="0" w:space="0" w:color="auto"/>
        <w:left w:val="none" w:sz="0" w:space="0" w:color="auto"/>
        <w:bottom w:val="none" w:sz="0" w:space="0" w:color="auto"/>
        <w:right w:val="none" w:sz="0" w:space="0" w:color="auto"/>
      </w:divBdr>
    </w:div>
    <w:div w:id="1681348831">
      <w:bodyDiv w:val="1"/>
      <w:marLeft w:val="0"/>
      <w:marRight w:val="0"/>
      <w:marTop w:val="0"/>
      <w:marBottom w:val="0"/>
      <w:divBdr>
        <w:top w:val="none" w:sz="0" w:space="0" w:color="auto"/>
        <w:left w:val="none" w:sz="0" w:space="0" w:color="auto"/>
        <w:bottom w:val="none" w:sz="0" w:space="0" w:color="auto"/>
        <w:right w:val="none" w:sz="0" w:space="0" w:color="auto"/>
      </w:divBdr>
    </w:div>
    <w:div w:id="1708405754">
      <w:bodyDiv w:val="1"/>
      <w:marLeft w:val="0"/>
      <w:marRight w:val="0"/>
      <w:marTop w:val="0"/>
      <w:marBottom w:val="0"/>
      <w:divBdr>
        <w:top w:val="none" w:sz="0" w:space="0" w:color="auto"/>
        <w:left w:val="none" w:sz="0" w:space="0" w:color="auto"/>
        <w:bottom w:val="none" w:sz="0" w:space="0" w:color="auto"/>
        <w:right w:val="none" w:sz="0" w:space="0" w:color="auto"/>
      </w:divBdr>
    </w:div>
    <w:div w:id="1746342791">
      <w:bodyDiv w:val="1"/>
      <w:marLeft w:val="0"/>
      <w:marRight w:val="0"/>
      <w:marTop w:val="0"/>
      <w:marBottom w:val="0"/>
      <w:divBdr>
        <w:top w:val="none" w:sz="0" w:space="0" w:color="auto"/>
        <w:left w:val="none" w:sz="0" w:space="0" w:color="auto"/>
        <w:bottom w:val="none" w:sz="0" w:space="0" w:color="auto"/>
        <w:right w:val="none" w:sz="0" w:space="0" w:color="auto"/>
      </w:divBdr>
    </w:div>
    <w:div w:id="1919167981">
      <w:bodyDiv w:val="1"/>
      <w:marLeft w:val="0"/>
      <w:marRight w:val="0"/>
      <w:marTop w:val="0"/>
      <w:marBottom w:val="0"/>
      <w:divBdr>
        <w:top w:val="none" w:sz="0" w:space="0" w:color="auto"/>
        <w:left w:val="none" w:sz="0" w:space="0" w:color="auto"/>
        <w:bottom w:val="none" w:sz="0" w:space="0" w:color="auto"/>
        <w:right w:val="none" w:sz="0" w:space="0" w:color="auto"/>
      </w:divBdr>
    </w:div>
    <w:div w:id="2027124850">
      <w:bodyDiv w:val="1"/>
      <w:marLeft w:val="0"/>
      <w:marRight w:val="0"/>
      <w:marTop w:val="0"/>
      <w:marBottom w:val="0"/>
      <w:divBdr>
        <w:top w:val="none" w:sz="0" w:space="0" w:color="auto"/>
        <w:left w:val="none" w:sz="0" w:space="0" w:color="auto"/>
        <w:bottom w:val="none" w:sz="0" w:space="0" w:color="auto"/>
        <w:right w:val="none" w:sz="0" w:space="0" w:color="auto"/>
      </w:divBdr>
    </w:div>
    <w:div w:id="2052726235">
      <w:bodyDiv w:val="1"/>
      <w:marLeft w:val="0"/>
      <w:marRight w:val="0"/>
      <w:marTop w:val="0"/>
      <w:marBottom w:val="0"/>
      <w:divBdr>
        <w:top w:val="none" w:sz="0" w:space="0" w:color="auto"/>
        <w:left w:val="none" w:sz="0" w:space="0" w:color="auto"/>
        <w:bottom w:val="none" w:sz="0" w:space="0" w:color="auto"/>
        <w:right w:val="none" w:sz="0" w:space="0" w:color="auto"/>
      </w:divBdr>
    </w:div>
    <w:div w:id="2124224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542AA-A9C8-4B96-9845-CDE92DC9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7460</Words>
  <Characters>42526</Characters>
  <Application>Microsoft Office Word</Application>
  <DocSecurity>0</DocSecurity>
  <Lines>354</Lines>
  <Paragraphs>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49887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2022-07-31T08:36:00Z</dcterms:created>
  <dcterms:modified xsi:type="dcterms:W3CDTF">2022-07-31T08:36:00Z</dcterms:modified>
</cp:coreProperties>
</file>